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7423E" w14:textId="77777777" w:rsidR="004A410B" w:rsidRPr="00D7605F" w:rsidRDefault="004A410B" w:rsidP="00945120">
      <w:pPr>
        <w:jc w:val="center"/>
        <w:rPr>
          <w:b/>
          <w:sz w:val="26"/>
          <w:szCs w:val="26"/>
        </w:rPr>
      </w:pPr>
      <w:bookmarkStart w:id="0" w:name="_GoBack"/>
      <w:bookmarkEnd w:id="0"/>
      <w:r w:rsidRPr="00D7605F">
        <w:rPr>
          <w:b/>
          <w:sz w:val="26"/>
          <w:szCs w:val="26"/>
        </w:rPr>
        <w:t>Terms of Reference</w:t>
      </w:r>
    </w:p>
    <w:p w14:paraId="2ED44295" w14:textId="5470BB0F" w:rsidR="004A410B" w:rsidRDefault="004A410B" w:rsidP="004A410B">
      <w:pPr>
        <w:spacing w:after="0" w:line="240" w:lineRule="auto"/>
        <w:jc w:val="both"/>
        <w:rPr>
          <w:rFonts w:eastAsia="Times New Roman"/>
          <w:b/>
          <w:sz w:val="26"/>
          <w:szCs w:val="26"/>
        </w:rPr>
      </w:pPr>
      <w:r w:rsidRPr="00C80FFB">
        <w:rPr>
          <w:b/>
          <w:sz w:val="26"/>
          <w:szCs w:val="26"/>
        </w:rPr>
        <w:t xml:space="preserve">for </w:t>
      </w:r>
      <w:r w:rsidRPr="00C80FFB">
        <w:rPr>
          <w:rFonts w:eastAsia="Times New Roman"/>
          <w:b/>
          <w:sz w:val="26"/>
          <w:szCs w:val="26"/>
        </w:rPr>
        <w:t>Assessment on Occupational Safety and Health (OSH), Fire Safety and Building Structure at informal RMG in Keranigonj, Dhaka, Bangladesh</w:t>
      </w:r>
    </w:p>
    <w:p w14:paraId="03C50D63" w14:textId="77777777" w:rsidR="00C80FFB" w:rsidRDefault="00C80FFB" w:rsidP="004A410B">
      <w:pPr>
        <w:spacing w:after="0" w:line="240" w:lineRule="auto"/>
        <w:jc w:val="both"/>
        <w:rPr>
          <w:rFonts w:eastAsia="Times New Roman"/>
          <w:b/>
          <w:sz w:val="26"/>
          <w:szCs w:val="26"/>
        </w:rPr>
      </w:pPr>
    </w:p>
    <w:p w14:paraId="4ADAE720" w14:textId="399F47C3" w:rsidR="004A410B" w:rsidRPr="004A410B" w:rsidRDefault="004A410B" w:rsidP="004A410B">
      <w:pPr>
        <w:jc w:val="both"/>
        <w:rPr>
          <w:sz w:val="24"/>
          <w:szCs w:val="24"/>
        </w:rPr>
      </w:pPr>
      <w:r w:rsidRPr="004A410B">
        <w:rPr>
          <w:sz w:val="24"/>
          <w:szCs w:val="24"/>
        </w:rPr>
        <w:t>Bangladesh Labour Foundation (BLF) is a non-government; non-profit; non-partisan organization represents the interest of the working people in Bangladesh. BLF works for the welfare of workers, working people, professionals, women, children, employee and families by undertaking various programs and projects. We share a common determination to organize, to defend human rights and labour standards in Bangladesh, and to promote the growth of workers organization for the benefit of all working men and women and their families.</w:t>
      </w:r>
      <w:r w:rsidR="00C80FFB">
        <w:rPr>
          <w:sz w:val="24"/>
          <w:szCs w:val="24"/>
        </w:rPr>
        <w:t xml:space="preserve"> </w:t>
      </w:r>
    </w:p>
    <w:p w14:paraId="41621DC2" w14:textId="77777777" w:rsidR="00C73473" w:rsidRPr="00C73473" w:rsidRDefault="00C73473" w:rsidP="00C73473">
      <w:pPr>
        <w:jc w:val="both"/>
        <w:rPr>
          <w:rFonts w:eastAsia="Times New Roman" w:cs="Times New Roman"/>
          <w:bCs/>
          <w:sz w:val="24"/>
          <w:szCs w:val="24"/>
        </w:rPr>
      </w:pPr>
      <w:r w:rsidRPr="00C73473">
        <w:rPr>
          <w:rFonts w:eastAsia="Times New Roman" w:cs="Times New Roman"/>
          <w:bCs/>
          <w:sz w:val="24"/>
          <w:szCs w:val="24"/>
        </w:rPr>
        <w:t>Bangladesh Labour Foundation (BLF) invites proposal from consultation firm/individual consultant for Assessment on Occupational Safety and Health (OSH), Fire Safety and Building Structure at Informal RMG in Keranigonj, Dhaka, Bangladesh</w:t>
      </w:r>
    </w:p>
    <w:p w14:paraId="49A9DA37" w14:textId="77777777" w:rsidR="00583FE7" w:rsidRPr="00C73473" w:rsidRDefault="00583FE7" w:rsidP="00583FE7">
      <w:pPr>
        <w:jc w:val="both"/>
        <w:rPr>
          <w:rFonts w:cstheme="minorHAnsi"/>
          <w:b/>
          <w:bCs/>
          <w:sz w:val="24"/>
          <w:szCs w:val="24"/>
        </w:rPr>
      </w:pPr>
      <w:r w:rsidRPr="00C73473">
        <w:rPr>
          <w:rFonts w:cstheme="minorHAnsi"/>
          <w:b/>
          <w:bCs/>
          <w:sz w:val="24"/>
          <w:szCs w:val="24"/>
        </w:rPr>
        <w:t xml:space="preserve">Objectives </w:t>
      </w:r>
    </w:p>
    <w:p w14:paraId="3C77AFAC" w14:textId="77777777" w:rsidR="007A5B4C" w:rsidRDefault="00583FE7" w:rsidP="00583FE7">
      <w:pPr>
        <w:jc w:val="both"/>
        <w:rPr>
          <w:rFonts w:cstheme="minorHAnsi"/>
          <w:sz w:val="24"/>
          <w:szCs w:val="24"/>
        </w:rPr>
      </w:pPr>
      <w:r w:rsidRPr="00C73473">
        <w:rPr>
          <w:rFonts w:cstheme="minorHAnsi"/>
          <w:sz w:val="24"/>
          <w:szCs w:val="24"/>
        </w:rPr>
        <w:t xml:space="preserve">The prime objective of the assignment is to access the existing occupational safety and health management and practices including </w:t>
      </w:r>
      <w:r w:rsidR="00C73473">
        <w:rPr>
          <w:rFonts w:cstheme="minorHAnsi"/>
          <w:sz w:val="24"/>
          <w:szCs w:val="24"/>
        </w:rPr>
        <w:t>fire safety and building structure at</w:t>
      </w:r>
      <w:r w:rsidRPr="00C73473">
        <w:rPr>
          <w:rFonts w:cstheme="minorHAnsi"/>
          <w:sz w:val="24"/>
          <w:szCs w:val="24"/>
        </w:rPr>
        <w:t xml:space="preserve"> the </w:t>
      </w:r>
      <w:r w:rsidR="00C73473">
        <w:rPr>
          <w:rFonts w:cstheme="minorHAnsi"/>
          <w:sz w:val="24"/>
          <w:szCs w:val="24"/>
        </w:rPr>
        <w:t xml:space="preserve">informal </w:t>
      </w:r>
      <w:r w:rsidRPr="00C73473">
        <w:rPr>
          <w:rFonts w:cstheme="minorHAnsi"/>
          <w:sz w:val="24"/>
          <w:szCs w:val="24"/>
        </w:rPr>
        <w:t>RMG factories located in</w:t>
      </w:r>
      <w:r w:rsidR="00C73473">
        <w:rPr>
          <w:rFonts w:cstheme="minorHAnsi"/>
          <w:sz w:val="24"/>
          <w:szCs w:val="24"/>
        </w:rPr>
        <w:t xml:space="preserve"> </w:t>
      </w:r>
      <w:r w:rsidRPr="00C73473">
        <w:rPr>
          <w:rFonts w:cstheme="minorHAnsi"/>
          <w:sz w:val="24"/>
          <w:szCs w:val="24"/>
        </w:rPr>
        <w:t xml:space="preserve">Keraniganj and provide recommendations on structural, electrical, fire safety remediation and improvement of </w:t>
      </w:r>
      <w:r w:rsidR="00FD6ED5" w:rsidRPr="00C73473">
        <w:rPr>
          <w:rFonts w:cstheme="minorHAnsi"/>
          <w:sz w:val="24"/>
          <w:szCs w:val="24"/>
        </w:rPr>
        <w:t xml:space="preserve">occupational and </w:t>
      </w:r>
      <w:r w:rsidRPr="00C73473">
        <w:rPr>
          <w:rFonts w:cstheme="minorHAnsi"/>
          <w:sz w:val="24"/>
          <w:szCs w:val="24"/>
        </w:rPr>
        <w:t>health management</w:t>
      </w:r>
      <w:r w:rsidR="007A5B4C">
        <w:rPr>
          <w:rFonts w:cstheme="minorHAnsi"/>
          <w:sz w:val="24"/>
          <w:szCs w:val="24"/>
        </w:rPr>
        <w:t xml:space="preserve">. </w:t>
      </w:r>
    </w:p>
    <w:p w14:paraId="14255596" w14:textId="1E444780" w:rsidR="00583FE7" w:rsidRPr="00C73473" w:rsidRDefault="00583FE7" w:rsidP="00583FE7">
      <w:pPr>
        <w:jc w:val="both"/>
        <w:rPr>
          <w:rFonts w:cstheme="minorHAnsi"/>
          <w:sz w:val="24"/>
          <w:szCs w:val="24"/>
        </w:rPr>
      </w:pPr>
      <w:r w:rsidRPr="00C73473">
        <w:rPr>
          <w:rFonts w:cstheme="minorHAnsi"/>
          <w:sz w:val="24"/>
          <w:szCs w:val="24"/>
        </w:rPr>
        <w:t xml:space="preserve">The specific objectives are stated below. </w:t>
      </w:r>
    </w:p>
    <w:p w14:paraId="77511AA7" w14:textId="1BB654B5" w:rsidR="00583FE7" w:rsidRPr="00C73473" w:rsidRDefault="00583FE7" w:rsidP="00583FE7">
      <w:pPr>
        <w:jc w:val="both"/>
        <w:rPr>
          <w:rFonts w:cstheme="minorHAnsi"/>
          <w:sz w:val="24"/>
          <w:szCs w:val="24"/>
        </w:rPr>
      </w:pPr>
      <w:r w:rsidRPr="00C73473">
        <w:rPr>
          <w:rFonts w:cstheme="minorHAnsi"/>
          <w:sz w:val="24"/>
          <w:szCs w:val="24"/>
        </w:rPr>
        <w:t>•</w:t>
      </w:r>
      <w:r w:rsidR="00A36EB7" w:rsidRPr="00C73473">
        <w:rPr>
          <w:rFonts w:cstheme="minorHAnsi"/>
          <w:sz w:val="24"/>
          <w:szCs w:val="24"/>
        </w:rPr>
        <w:t xml:space="preserve"> </w:t>
      </w:r>
      <w:r w:rsidRPr="00C73473">
        <w:rPr>
          <w:rFonts w:cstheme="minorHAnsi"/>
          <w:sz w:val="24"/>
          <w:szCs w:val="24"/>
        </w:rPr>
        <w:t xml:space="preserve">To access OSH </w:t>
      </w:r>
      <w:r w:rsidR="00FD6ED5" w:rsidRPr="00C73473">
        <w:rPr>
          <w:rFonts w:cstheme="minorHAnsi"/>
          <w:sz w:val="24"/>
          <w:szCs w:val="24"/>
        </w:rPr>
        <w:t>status from</w:t>
      </w:r>
      <w:r w:rsidRPr="00C73473">
        <w:rPr>
          <w:rFonts w:cstheme="minorHAnsi"/>
          <w:sz w:val="24"/>
          <w:szCs w:val="24"/>
        </w:rPr>
        <w:t xml:space="preserve"> both workers and </w:t>
      </w:r>
      <w:r w:rsidR="00C73473" w:rsidRPr="00C73473">
        <w:rPr>
          <w:rFonts w:cstheme="minorHAnsi"/>
          <w:sz w:val="24"/>
          <w:szCs w:val="24"/>
        </w:rPr>
        <w:t>employers’</w:t>
      </w:r>
      <w:r w:rsidRPr="00C73473">
        <w:rPr>
          <w:rFonts w:cstheme="minorHAnsi"/>
          <w:sz w:val="24"/>
          <w:szCs w:val="24"/>
        </w:rPr>
        <w:t xml:space="preserve"> point of </w:t>
      </w:r>
      <w:r w:rsidR="00FD6ED5" w:rsidRPr="00C73473">
        <w:rPr>
          <w:rFonts w:cstheme="minorHAnsi"/>
          <w:sz w:val="24"/>
          <w:szCs w:val="24"/>
        </w:rPr>
        <w:t>view,</w:t>
      </w:r>
      <w:r w:rsidRPr="00C73473">
        <w:rPr>
          <w:rFonts w:cstheme="minorHAnsi"/>
          <w:sz w:val="24"/>
          <w:szCs w:val="24"/>
        </w:rPr>
        <w:t xml:space="preserve"> existing practices and extent of implementation of OSH related national laws and regulations in the organization/factory level </w:t>
      </w:r>
    </w:p>
    <w:p w14:paraId="7D787D96" w14:textId="5CAC150C" w:rsidR="00583FE7" w:rsidRPr="00C73473" w:rsidRDefault="00583FE7" w:rsidP="00A36EB7">
      <w:pPr>
        <w:spacing w:after="0" w:line="240" w:lineRule="auto"/>
        <w:rPr>
          <w:rFonts w:cstheme="minorHAnsi"/>
          <w:sz w:val="24"/>
          <w:szCs w:val="24"/>
        </w:rPr>
      </w:pPr>
      <w:r w:rsidRPr="00C73473">
        <w:rPr>
          <w:rFonts w:cstheme="minorHAnsi"/>
          <w:sz w:val="24"/>
          <w:szCs w:val="24"/>
        </w:rPr>
        <w:t>•</w:t>
      </w:r>
      <w:r w:rsidR="00A36EB7" w:rsidRPr="00C73473">
        <w:rPr>
          <w:rFonts w:cstheme="minorHAnsi"/>
          <w:sz w:val="24"/>
          <w:szCs w:val="24"/>
        </w:rPr>
        <w:t xml:space="preserve"> </w:t>
      </w:r>
      <w:r w:rsidRPr="00C73473">
        <w:rPr>
          <w:rFonts w:cstheme="minorHAnsi"/>
          <w:sz w:val="24"/>
          <w:szCs w:val="24"/>
        </w:rPr>
        <w:t xml:space="preserve">To assess fire and electrical safety </w:t>
      </w:r>
      <w:r w:rsidR="00FD6ED5" w:rsidRPr="00C73473">
        <w:rPr>
          <w:rFonts w:cstheme="minorHAnsi"/>
          <w:sz w:val="24"/>
          <w:szCs w:val="24"/>
        </w:rPr>
        <w:t xml:space="preserve">and review structural safety </w:t>
      </w:r>
      <w:r w:rsidRPr="00C73473">
        <w:rPr>
          <w:rFonts w:cstheme="minorHAnsi"/>
          <w:sz w:val="24"/>
          <w:szCs w:val="24"/>
        </w:rPr>
        <w:t xml:space="preserve">including potential hazards and risks associated with it </w:t>
      </w:r>
      <w:r w:rsidR="00FD6ED5" w:rsidRPr="00C73473">
        <w:rPr>
          <w:rFonts w:cstheme="minorHAnsi"/>
          <w:sz w:val="24"/>
          <w:szCs w:val="24"/>
        </w:rPr>
        <w:t>for improving preventable measures and methods</w:t>
      </w:r>
    </w:p>
    <w:p w14:paraId="50B059B4" w14:textId="77777777" w:rsidR="00A36EB7" w:rsidRPr="00C73473" w:rsidRDefault="00A36EB7" w:rsidP="00A36EB7">
      <w:pPr>
        <w:spacing w:after="0" w:line="240" w:lineRule="auto"/>
        <w:rPr>
          <w:rFonts w:cstheme="minorHAnsi"/>
          <w:sz w:val="24"/>
          <w:szCs w:val="24"/>
        </w:rPr>
      </w:pPr>
    </w:p>
    <w:p w14:paraId="30A81210" w14:textId="0265601C" w:rsidR="00F25C84" w:rsidRPr="00945120" w:rsidRDefault="00583FE7" w:rsidP="00583FE7">
      <w:pPr>
        <w:jc w:val="both"/>
        <w:rPr>
          <w:rFonts w:cstheme="minorHAnsi"/>
          <w:sz w:val="24"/>
          <w:szCs w:val="24"/>
        </w:rPr>
      </w:pPr>
      <w:r w:rsidRPr="00945120">
        <w:rPr>
          <w:rFonts w:cstheme="minorHAnsi"/>
          <w:sz w:val="24"/>
          <w:szCs w:val="24"/>
        </w:rPr>
        <w:t>•</w:t>
      </w:r>
      <w:r w:rsidR="00A36EB7" w:rsidRPr="00945120">
        <w:rPr>
          <w:rFonts w:cstheme="minorHAnsi"/>
          <w:sz w:val="24"/>
          <w:szCs w:val="24"/>
        </w:rPr>
        <w:t xml:space="preserve"> </w:t>
      </w:r>
      <w:r w:rsidRPr="00945120">
        <w:rPr>
          <w:rFonts w:cstheme="minorHAnsi"/>
          <w:sz w:val="24"/>
          <w:szCs w:val="24"/>
        </w:rPr>
        <w:t>To generate a benchmark following ILO-OSH 2001</w:t>
      </w:r>
      <w:r w:rsidR="00A36EB7" w:rsidRPr="00945120">
        <w:rPr>
          <w:rFonts w:cstheme="minorHAnsi"/>
          <w:sz w:val="24"/>
          <w:szCs w:val="24"/>
        </w:rPr>
        <w:t xml:space="preserve">, ACCORD </w:t>
      </w:r>
      <w:r w:rsidRPr="00945120">
        <w:rPr>
          <w:rFonts w:cstheme="minorHAnsi"/>
          <w:sz w:val="24"/>
          <w:szCs w:val="24"/>
        </w:rPr>
        <w:t xml:space="preserve">and </w:t>
      </w:r>
      <w:r w:rsidR="00FD6ED5" w:rsidRPr="00945120">
        <w:rPr>
          <w:rFonts w:cstheme="minorHAnsi"/>
          <w:sz w:val="24"/>
          <w:szCs w:val="24"/>
        </w:rPr>
        <w:t xml:space="preserve">Bangladesh National Building Code (BNBC) </w:t>
      </w:r>
      <w:r w:rsidRPr="00945120">
        <w:rPr>
          <w:rFonts w:cstheme="minorHAnsi"/>
          <w:sz w:val="24"/>
          <w:szCs w:val="24"/>
        </w:rPr>
        <w:t xml:space="preserve">protocol </w:t>
      </w:r>
      <w:r w:rsidR="00FD6ED5" w:rsidRPr="00945120">
        <w:rPr>
          <w:rFonts w:cstheme="minorHAnsi"/>
          <w:sz w:val="24"/>
          <w:szCs w:val="24"/>
        </w:rPr>
        <w:t>and standard</w:t>
      </w:r>
      <w:r w:rsidRPr="00945120">
        <w:rPr>
          <w:rFonts w:cstheme="minorHAnsi"/>
          <w:sz w:val="24"/>
          <w:szCs w:val="24"/>
        </w:rPr>
        <w:t xml:space="preserve"> for continual improvement of OSH management system </w:t>
      </w:r>
      <w:r w:rsidR="00FD6ED5" w:rsidRPr="00945120">
        <w:rPr>
          <w:rFonts w:cstheme="minorHAnsi"/>
          <w:sz w:val="24"/>
          <w:szCs w:val="24"/>
        </w:rPr>
        <w:t>incorporating Corrective</w:t>
      </w:r>
      <w:r w:rsidRPr="00945120">
        <w:rPr>
          <w:rFonts w:cstheme="minorHAnsi"/>
          <w:sz w:val="24"/>
          <w:szCs w:val="24"/>
        </w:rPr>
        <w:t xml:space="preserve"> Action Plan (CAP) with specific corrective actions and sustainable safety culture in the RMG factory/organization</w:t>
      </w:r>
    </w:p>
    <w:p w14:paraId="0FC72CD0" w14:textId="77777777" w:rsidR="00B42E69" w:rsidRPr="007A5B4C" w:rsidRDefault="00B42E69" w:rsidP="00B42E69">
      <w:pPr>
        <w:spacing w:after="0" w:line="240" w:lineRule="auto"/>
        <w:rPr>
          <w:rFonts w:eastAsia="Times New Roman" w:cstheme="minorHAnsi"/>
          <w:b/>
          <w:bCs/>
          <w:sz w:val="24"/>
          <w:szCs w:val="24"/>
          <w:lang w:val="en-US" w:bidi="bn-IN"/>
        </w:rPr>
      </w:pPr>
      <w:r w:rsidRPr="007A5B4C">
        <w:rPr>
          <w:rFonts w:eastAsia="Times New Roman" w:cstheme="minorHAnsi"/>
          <w:b/>
          <w:bCs/>
          <w:sz w:val="24"/>
          <w:szCs w:val="24"/>
          <w:lang w:val="en-US" w:bidi="bn-IN"/>
        </w:rPr>
        <w:t xml:space="preserve">Scope of work </w:t>
      </w:r>
    </w:p>
    <w:p w14:paraId="670EF350" w14:textId="77777777" w:rsidR="00B42E69" w:rsidRPr="007A5B4C" w:rsidRDefault="00B42E69" w:rsidP="00B42E69">
      <w:pPr>
        <w:spacing w:after="0" w:line="240" w:lineRule="auto"/>
        <w:rPr>
          <w:rFonts w:eastAsia="Times New Roman" w:cstheme="minorHAnsi"/>
          <w:b/>
          <w:bCs/>
          <w:sz w:val="24"/>
          <w:szCs w:val="24"/>
          <w:lang w:val="en-US" w:bidi="bn-IN"/>
        </w:rPr>
      </w:pPr>
      <w:r w:rsidRPr="007A5B4C">
        <w:rPr>
          <w:rFonts w:eastAsia="Times New Roman" w:cstheme="minorHAnsi"/>
          <w:b/>
          <w:bCs/>
          <w:sz w:val="24"/>
          <w:szCs w:val="24"/>
          <w:lang w:val="en-US" w:bidi="bn-IN"/>
        </w:rPr>
        <w:t xml:space="preserve">Safe and healthy working environment </w:t>
      </w:r>
    </w:p>
    <w:p w14:paraId="43993667" w14:textId="77777777" w:rsidR="00B42E69" w:rsidRPr="007A5B4C" w:rsidRDefault="00B42E69" w:rsidP="00B42E69">
      <w:pPr>
        <w:pStyle w:val="ListParagraph"/>
        <w:numPr>
          <w:ilvl w:val="0"/>
          <w:numId w:val="4"/>
        </w:numPr>
        <w:spacing w:after="0" w:line="240" w:lineRule="auto"/>
        <w:rPr>
          <w:rFonts w:cstheme="minorHAnsi"/>
          <w:sz w:val="24"/>
          <w:szCs w:val="24"/>
        </w:rPr>
      </w:pPr>
      <w:r w:rsidRPr="007A5B4C">
        <w:rPr>
          <w:rFonts w:cstheme="minorHAnsi"/>
          <w:sz w:val="24"/>
          <w:szCs w:val="24"/>
        </w:rPr>
        <w:t>Status of sufficient ventilation and lighting</w:t>
      </w:r>
    </w:p>
    <w:p w14:paraId="67C8EE4C" w14:textId="77777777" w:rsidR="00B42E69" w:rsidRPr="007A5B4C" w:rsidRDefault="00B42E69" w:rsidP="00B42E69">
      <w:pPr>
        <w:pStyle w:val="ListParagraph"/>
        <w:numPr>
          <w:ilvl w:val="0"/>
          <w:numId w:val="4"/>
        </w:numPr>
        <w:spacing w:after="0" w:line="240" w:lineRule="auto"/>
        <w:rPr>
          <w:rFonts w:cstheme="minorHAnsi"/>
          <w:sz w:val="24"/>
          <w:szCs w:val="24"/>
        </w:rPr>
      </w:pPr>
      <w:r w:rsidRPr="007A5B4C">
        <w:rPr>
          <w:rFonts w:eastAsia="Times New Roman" w:cstheme="minorHAnsi"/>
          <w:color w:val="231F20"/>
          <w:sz w:val="24"/>
          <w:szCs w:val="24"/>
          <w:lang w:val="en-US" w:bidi="bn-IN"/>
        </w:rPr>
        <w:t xml:space="preserve">access to potable water and sanitation (latrine and urinals, separate toilet for male and female workers </w:t>
      </w:r>
    </w:p>
    <w:p w14:paraId="226AD47E" w14:textId="77777777" w:rsidR="00B42E69" w:rsidRPr="007A5B4C" w:rsidRDefault="00B42E69" w:rsidP="00B42E69">
      <w:pPr>
        <w:pStyle w:val="ListParagraph"/>
        <w:numPr>
          <w:ilvl w:val="0"/>
          <w:numId w:val="4"/>
        </w:numPr>
        <w:spacing w:after="0" w:line="240" w:lineRule="auto"/>
        <w:rPr>
          <w:rFonts w:cstheme="minorHAnsi"/>
          <w:sz w:val="24"/>
          <w:szCs w:val="24"/>
        </w:rPr>
      </w:pPr>
      <w:r w:rsidRPr="007A5B4C">
        <w:rPr>
          <w:rFonts w:cstheme="minorHAnsi"/>
          <w:sz w:val="24"/>
          <w:szCs w:val="24"/>
        </w:rPr>
        <w:t>First-aid facilities and Personal protective equipment for dealing with accidents and emergencies</w:t>
      </w:r>
    </w:p>
    <w:p w14:paraId="7766BB6A" w14:textId="1FE7EA5D" w:rsidR="00B42E69" w:rsidRPr="007A5B4C" w:rsidRDefault="00B42E69" w:rsidP="00B42E69">
      <w:pPr>
        <w:pStyle w:val="ListParagraph"/>
        <w:numPr>
          <w:ilvl w:val="0"/>
          <w:numId w:val="4"/>
        </w:numPr>
        <w:rPr>
          <w:rFonts w:cstheme="minorHAnsi"/>
          <w:sz w:val="24"/>
          <w:szCs w:val="24"/>
        </w:rPr>
      </w:pPr>
      <w:r w:rsidRPr="007A5B4C">
        <w:rPr>
          <w:rFonts w:cstheme="minorHAnsi"/>
          <w:sz w:val="24"/>
          <w:szCs w:val="24"/>
        </w:rPr>
        <w:t>Identification of occupational hazards, occupational and industrial accidents, environmental hazards, injuries and work-related diseases</w:t>
      </w:r>
    </w:p>
    <w:p w14:paraId="1F16C5EF" w14:textId="4B4E11ED" w:rsidR="00FD6ED5" w:rsidRPr="007A5B4C" w:rsidRDefault="00A36EB7" w:rsidP="00B42E69">
      <w:pPr>
        <w:pStyle w:val="ListParagraph"/>
        <w:numPr>
          <w:ilvl w:val="0"/>
          <w:numId w:val="4"/>
        </w:numPr>
        <w:rPr>
          <w:rFonts w:cstheme="minorHAnsi"/>
          <w:sz w:val="24"/>
          <w:szCs w:val="24"/>
        </w:rPr>
      </w:pPr>
      <w:r w:rsidRPr="007A5B4C">
        <w:rPr>
          <w:rFonts w:cstheme="minorHAnsi"/>
          <w:sz w:val="24"/>
          <w:szCs w:val="24"/>
        </w:rPr>
        <w:lastRenderedPageBreak/>
        <w:t xml:space="preserve">Identification of health hazards linked with </w:t>
      </w:r>
      <w:r w:rsidR="00FD6ED5" w:rsidRPr="007A5B4C">
        <w:rPr>
          <w:rFonts w:cstheme="minorHAnsi"/>
          <w:sz w:val="24"/>
          <w:szCs w:val="24"/>
        </w:rPr>
        <w:t>sexual harassment, workplace violence</w:t>
      </w:r>
      <w:r w:rsidRPr="007A5B4C">
        <w:rPr>
          <w:rFonts w:cstheme="minorHAnsi"/>
          <w:sz w:val="24"/>
          <w:szCs w:val="24"/>
        </w:rPr>
        <w:t>, excessive work hours and forced overtime</w:t>
      </w:r>
    </w:p>
    <w:p w14:paraId="3B30C2F3" w14:textId="77777777" w:rsidR="00B42E69" w:rsidRPr="007A5B4C" w:rsidRDefault="00B42E69" w:rsidP="00B42E69">
      <w:pPr>
        <w:pStyle w:val="ListParagraph"/>
        <w:numPr>
          <w:ilvl w:val="0"/>
          <w:numId w:val="4"/>
        </w:numPr>
        <w:spacing w:after="0" w:line="240" w:lineRule="auto"/>
        <w:rPr>
          <w:rFonts w:cstheme="minorHAnsi"/>
          <w:sz w:val="24"/>
          <w:szCs w:val="24"/>
        </w:rPr>
      </w:pPr>
      <w:r w:rsidRPr="007A5B4C">
        <w:rPr>
          <w:rFonts w:cstheme="minorHAnsi"/>
          <w:sz w:val="24"/>
          <w:szCs w:val="24"/>
        </w:rPr>
        <w:t>Identification of occupational hazards due to air pollution, noise and vibration in the working environment</w:t>
      </w:r>
    </w:p>
    <w:p w14:paraId="58B3BE6A" w14:textId="77777777" w:rsidR="00B42E69" w:rsidRPr="007A5B4C" w:rsidRDefault="00B42E69" w:rsidP="00B42E69">
      <w:pPr>
        <w:pStyle w:val="ListParagraph"/>
        <w:numPr>
          <w:ilvl w:val="0"/>
          <w:numId w:val="4"/>
        </w:numPr>
        <w:spacing w:after="0" w:line="240" w:lineRule="auto"/>
        <w:rPr>
          <w:rFonts w:cstheme="minorHAnsi"/>
          <w:sz w:val="24"/>
          <w:szCs w:val="24"/>
        </w:rPr>
      </w:pPr>
      <w:r w:rsidRPr="007A5B4C">
        <w:rPr>
          <w:rFonts w:cstheme="minorHAnsi"/>
          <w:sz w:val="24"/>
          <w:szCs w:val="24"/>
        </w:rPr>
        <w:t>Measures for prevention and control of hazards, and protection against risks</w:t>
      </w:r>
    </w:p>
    <w:p w14:paraId="029CD60F" w14:textId="59BB5505" w:rsidR="00B42E69" w:rsidRPr="007A5B4C" w:rsidRDefault="00A36EB7" w:rsidP="00B42E69">
      <w:pPr>
        <w:pStyle w:val="ListParagraph"/>
        <w:numPr>
          <w:ilvl w:val="0"/>
          <w:numId w:val="4"/>
        </w:numPr>
        <w:spacing w:after="0" w:line="240" w:lineRule="auto"/>
        <w:rPr>
          <w:rFonts w:cstheme="minorHAnsi"/>
          <w:sz w:val="24"/>
          <w:szCs w:val="24"/>
        </w:rPr>
      </w:pPr>
      <w:r w:rsidRPr="007A5B4C">
        <w:rPr>
          <w:rFonts w:cstheme="minorHAnsi"/>
          <w:sz w:val="24"/>
          <w:szCs w:val="24"/>
        </w:rPr>
        <w:t xml:space="preserve">Status of </w:t>
      </w:r>
      <w:r w:rsidR="00B42E69" w:rsidRPr="007A5B4C">
        <w:rPr>
          <w:rFonts w:cstheme="minorHAnsi"/>
          <w:sz w:val="24"/>
          <w:szCs w:val="24"/>
        </w:rPr>
        <w:t xml:space="preserve">Health and Safety Inspection from the government or any other agencies </w:t>
      </w:r>
    </w:p>
    <w:p w14:paraId="670C21F7" w14:textId="77777777" w:rsidR="00B42E69" w:rsidRPr="007A5B4C" w:rsidRDefault="00B42E69" w:rsidP="00B42E69">
      <w:pPr>
        <w:spacing w:after="0" w:line="240" w:lineRule="auto"/>
        <w:rPr>
          <w:rFonts w:cstheme="minorHAnsi"/>
          <w:sz w:val="24"/>
          <w:szCs w:val="24"/>
        </w:rPr>
      </w:pPr>
    </w:p>
    <w:p w14:paraId="5FABBC4E" w14:textId="569B3FD6" w:rsidR="00B42E69" w:rsidRPr="007A5B4C" w:rsidRDefault="00B42E69" w:rsidP="00B42E69">
      <w:pPr>
        <w:spacing w:after="0" w:line="240" w:lineRule="auto"/>
        <w:rPr>
          <w:rFonts w:eastAsia="Times New Roman" w:cstheme="minorHAnsi"/>
          <w:b/>
          <w:bCs/>
          <w:sz w:val="24"/>
          <w:szCs w:val="24"/>
          <w:lang w:val="en-US" w:bidi="bn-IN"/>
        </w:rPr>
      </w:pPr>
      <w:r w:rsidRPr="007A5B4C">
        <w:rPr>
          <w:rFonts w:eastAsia="Times New Roman" w:cstheme="minorHAnsi"/>
          <w:b/>
          <w:bCs/>
          <w:sz w:val="24"/>
          <w:szCs w:val="24"/>
          <w:lang w:val="en-US" w:bidi="bn-IN"/>
        </w:rPr>
        <w:t xml:space="preserve">Information and knowledge on </w:t>
      </w:r>
      <w:r w:rsidRPr="007A5B4C">
        <w:rPr>
          <w:rFonts w:cstheme="minorHAnsi"/>
          <w:b/>
          <w:bCs/>
          <w:color w:val="0D0D0D" w:themeColor="text1" w:themeTint="F2"/>
          <w:sz w:val="24"/>
          <w:szCs w:val="24"/>
          <w:shd w:val="clear" w:color="auto" w:fill="FFFFFF"/>
        </w:rPr>
        <w:t>Occupational Safety and Health (</w:t>
      </w:r>
      <w:r w:rsidRPr="007A5B4C">
        <w:rPr>
          <w:rFonts w:eastAsia="Times New Roman" w:cstheme="minorHAnsi"/>
          <w:b/>
          <w:bCs/>
          <w:sz w:val="24"/>
          <w:szCs w:val="24"/>
          <w:lang w:val="en-US" w:bidi="bn-IN"/>
        </w:rPr>
        <w:t xml:space="preserve">OSH) </w:t>
      </w:r>
    </w:p>
    <w:p w14:paraId="5A63D666" w14:textId="14D14EE8" w:rsidR="00B42E69" w:rsidRPr="007A5B4C" w:rsidRDefault="00B42E69" w:rsidP="00B42E69">
      <w:pPr>
        <w:pStyle w:val="ListParagraph"/>
        <w:numPr>
          <w:ilvl w:val="0"/>
          <w:numId w:val="7"/>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Perception and knowledge of the employer and employees on working environment, risks, hazards including </w:t>
      </w:r>
      <w:r w:rsidR="00A36EB7" w:rsidRPr="007A5B4C">
        <w:rPr>
          <w:rFonts w:eastAsia="Times New Roman" w:cstheme="minorHAnsi"/>
          <w:sz w:val="24"/>
          <w:szCs w:val="24"/>
          <w:lang w:val="en-US" w:bidi="bn-IN"/>
        </w:rPr>
        <w:t xml:space="preserve">health hazards and </w:t>
      </w:r>
      <w:r w:rsidRPr="007A5B4C">
        <w:rPr>
          <w:rFonts w:eastAsia="Times New Roman" w:cstheme="minorHAnsi"/>
          <w:sz w:val="24"/>
          <w:szCs w:val="24"/>
          <w:lang w:val="en-US" w:bidi="bn-IN"/>
        </w:rPr>
        <w:t>environmental hazards the workers and environment face</w:t>
      </w:r>
    </w:p>
    <w:p w14:paraId="4324EDA2" w14:textId="77777777" w:rsidR="00B42E69" w:rsidRPr="007A5B4C" w:rsidRDefault="00B42E69" w:rsidP="00B42E69">
      <w:pPr>
        <w:pStyle w:val="ListParagraph"/>
        <w:numPr>
          <w:ilvl w:val="0"/>
          <w:numId w:val="7"/>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Capacity development of workers on OSH</w:t>
      </w:r>
    </w:p>
    <w:p w14:paraId="7ABD2CE0" w14:textId="77777777" w:rsidR="00B42E69" w:rsidRPr="007A5B4C" w:rsidRDefault="00B42E69" w:rsidP="00B42E69">
      <w:pPr>
        <w:pStyle w:val="ListParagraph"/>
        <w:numPr>
          <w:ilvl w:val="0"/>
          <w:numId w:val="7"/>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Maintenance and promotion of workers’ health and working capacity </w:t>
      </w:r>
    </w:p>
    <w:p w14:paraId="466F8316" w14:textId="77777777" w:rsidR="00B42E69" w:rsidRPr="007A5B4C" w:rsidRDefault="00B42E69" w:rsidP="00B42E69">
      <w:pPr>
        <w:pStyle w:val="ListParagraph"/>
        <w:numPr>
          <w:ilvl w:val="0"/>
          <w:numId w:val="7"/>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Prevention and control of, and protection against, occupational hazards due to air pollution, noise and vibration in the working environment</w:t>
      </w:r>
    </w:p>
    <w:p w14:paraId="3F04CA9E" w14:textId="77777777" w:rsidR="00B42E69" w:rsidRPr="007A5B4C" w:rsidRDefault="00B42E69" w:rsidP="00B42E69">
      <w:pPr>
        <w:spacing w:after="0" w:line="240" w:lineRule="auto"/>
        <w:rPr>
          <w:rFonts w:eastAsia="Times New Roman" w:cstheme="minorHAnsi"/>
          <w:b/>
          <w:bCs/>
          <w:sz w:val="24"/>
          <w:szCs w:val="24"/>
          <w:lang w:val="en-US" w:bidi="bn-IN"/>
        </w:rPr>
      </w:pPr>
    </w:p>
    <w:p w14:paraId="35DDF141" w14:textId="77777777" w:rsidR="00B42E69" w:rsidRPr="007A5B4C" w:rsidRDefault="00B42E69" w:rsidP="00B42E69">
      <w:pPr>
        <w:spacing w:after="0" w:line="240" w:lineRule="auto"/>
        <w:rPr>
          <w:rFonts w:eastAsia="Times New Roman" w:cstheme="minorHAnsi"/>
          <w:b/>
          <w:bCs/>
          <w:sz w:val="24"/>
          <w:szCs w:val="24"/>
          <w:lang w:val="en-US" w:bidi="bn-IN"/>
        </w:rPr>
      </w:pPr>
      <w:r w:rsidRPr="007A5B4C">
        <w:rPr>
          <w:rFonts w:eastAsia="Times New Roman" w:cstheme="minorHAnsi"/>
          <w:b/>
          <w:bCs/>
          <w:sz w:val="24"/>
          <w:szCs w:val="24"/>
          <w:lang w:val="en-US" w:bidi="bn-IN"/>
        </w:rPr>
        <w:t xml:space="preserve">Electric safety </w:t>
      </w:r>
    </w:p>
    <w:p w14:paraId="1E7D2CFF" w14:textId="77777777" w:rsidR="00B42E69" w:rsidRPr="007A5B4C" w:rsidRDefault="00B42E69" w:rsidP="00B42E69">
      <w:pPr>
        <w:pStyle w:val="ListParagraph"/>
        <w:numPr>
          <w:ilvl w:val="0"/>
          <w:numId w:val="1"/>
        </w:numPr>
        <w:rPr>
          <w:rFonts w:cstheme="minorHAnsi"/>
          <w:sz w:val="24"/>
          <w:szCs w:val="24"/>
        </w:rPr>
      </w:pPr>
      <w:bookmarkStart w:id="1" w:name="_Hlk72575243"/>
      <w:r w:rsidRPr="007A5B4C">
        <w:rPr>
          <w:rFonts w:cstheme="minorHAnsi"/>
          <w:sz w:val="24"/>
          <w:szCs w:val="24"/>
        </w:rPr>
        <w:t>Verification</w:t>
      </w:r>
      <w:bookmarkEnd w:id="1"/>
      <w:r w:rsidRPr="007A5B4C">
        <w:rPr>
          <w:rFonts w:cstheme="minorHAnsi"/>
          <w:sz w:val="24"/>
          <w:szCs w:val="24"/>
        </w:rPr>
        <w:t xml:space="preserve"> of all electrical design &amp; drawing (SLD, ELD, &amp; Earthing Diagram) according to existing condition of buildings</w:t>
      </w:r>
    </w:p>
    <w:p w14:paraId="4333F912" w14:textId="77777777" w:rsidR="00B42E69" w:rsidRPr="007A5B4C" w:rsidRDefault="00B42E69" w:rsidP="00B42E69">
      <w:pPr>
        <w:pStyle w:val="ListParagraph"/>
        <w:numPr>
          <w:ilvl w:val="0"/>
          <w:numId w:val="1"/>
        </w:numPr>
        <w:spacing w:after="0" w:line="240" w:lineRule="auto"/>
        <w:rPr>
          <w:rFonts w:eastAsia="Times New Roman" w:cstheme="minorHAnsi"/>
          <w:color w:val="000000"/>
          <w:sz w:val="24"/>
          <w:szCs w:val="24"/>
          <w:lang w:val="en-US" w:bidi="bn-IN"/>
        </w:rPr>
      </w:pPr>
      <w:r w:rsidRPr="007A5B4C">
        <w:rPr>
          <w:rFonts w:eastAsia="Times New Roman" w:cstheme="minorHAnsi"/>
          <w:color w:val="000000"/>
          <w:sz w:val="24"/>
          <w:szCs w:val="24"/>
          <w:lang w:val="en-US" w:bidi="bn-IN"/>
        </w:rPr>
        <w:t>Verification of lightening protection system (LPS) design and as built installation as per standard.</w:t>
      </w:r>
    </w:p>
    <w:p w14:paraId="3BE6F77D" w14:textId="71B4F20B" w:rsidR="00B42E69" w:rsidRPr="007A5B4C" w:rsidRDefault="00B42E69" w:rsidP="00B42E69">
      <w:pPr>
        <w:pStyle w:val="ListParagraph"/>
        <w:numPr>
          <w:ilvl w:val="0"/>
          <w:numId w:val="1"/>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Inspection, maintenance and testing procedure &amp; documentation of existing electrical system of buildings including internal wirings.</w:t>
      </w:r>
    </w:p>
    <w:p w14:paraId="26B148FC" w14:textId="77777777" w:rsidR="00B42E69" w:rsidRPr="007A5B4C" w:rsidRDefault="00B42E69" w:rsidP="00B42E69">
      <w:pPr>
        <w:pStyle w:val="ListParagraph"/>
        <w:numPr>
          <w:ilvl w:val="0"/>
          <w:numId w:val="1"/>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Visual inspection of overall existing electrical system of buildings.</w:t>
      </w:r>
    </w:p>
    <w:p w14:paraId="7A49A577" w14:textId="77777777" w:rsidR="00B42E69" w:rsidRPr="007A5B4C" w:rsidRDefault="00B42E69" w:rsidP="00B42E69">
      <w:pPr>
        <w:pStyle w:val="ListParagraph"/>
        <w:numPr>
          <w:ilvl w:val="0"/>
          <w:numId w:val="1"/>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Report generation on existing electrical systems of the buildings comparing with </w:t>
      </w:r>
      <w:bookmarkStart w:id="2" w:name="_Hlk72814217"/>
      <w:r w:rsidRPr="007A5B4C">
        <w:rPr>
          <w:rFonts w:eastAsia="Times New Roman" w:cstheme="minorHAnsi"/>
          <w:sz w:val="24"/>
          <w:szCs w:val="24"/>
          <w:lang w:val="en-US" w:bidi="bn-IN"/>
        </w:rPr>
        <w:t xml:space="preserve">Bangladesh National Building Code (BNBC) </w:t>
      </w:r>
      <w:bookmarkEnd w:id="2"/>
      <w:r w:rsidRPr="007A5B4C">
        <w:rPr>
          <w:rFonts w:eastAsia="Times New Roman" w:cstheme="minorHAnsi"/>
          <w:sz w:val="24"/>
          <w:szCs w:val="24"/>
          <w:lang w:val="en-US" w:bidi="bn-IN"/>
        </w:rPr>
        <w:t xml:space="preserve">standard based on floor occupancy, finding out inadequacies of existing systems and recommendations as per BNBC standard </w:t>
      </w:r>
    </w:p>
    <w:p w14:paraId="315761A5" w14:textId="77777777" w:rsidR="004A410B" w:rsidRPr="007A5B4C" w:rsidRDefault="004A410B" w:rsidP="00B42E69">
      <w:pPr>
        <w:spacing w:after="0" w:line="240" w:lineRule="auto"/>
        <w:rPr>
          <w:rFonts w:eastAsia="Times New Roman" w:cstheme="minorHAnsi"/>
          <w:b/>
          <w:bCs/>
          <w:sz w:val="24"/>
          <w:szCs w:val="24"/>
          <w:lang w:val="en-US" w:bidi="bn-IN"/>
        </w:rPr>
      </w:pPr>
    </w:p>
    <w:p w14:paraId="032B6930" w14:textId="27242976" w:rsidR="00B42E69" w:rsidRPr="007A5B4C" w:rsidRDefault="00B42E69" w:rsidP="00B42E69">
      <w:pPr>
        <w:spacing w:after="0" w:line="240" w:lineRule="auto"/>
        <w:rPr>
          <w:rFonts w:eastAsia="Times New Roman" w:cstheme="minorHAnsi"/>
          <w:b/>
          <w:bCs/>
          <w:sz w:val="24"/>
          <w:szCs w:val="24"/>
          <w:lang w:val="en-US" w:bidi="bn-IN"/>
        </w:rPr>
      </w:pPr>
      <w:r w:rsidRPr="007A5B4C">
        <w:rPr>
          <w:rFonts w:eastAsia="Times New Roman" w:cstheme="minorHAnsi"/>
          <w:b/>
          <w:bCs/>
          <w:sz w:val="24"/>
          <w:szCs w:val="24"/>
          <w:lang w:val="en-US" w:bidi="bn-IN"/>
        </w:rPr>
        <w:t>Fire Safety</w:t>
      </w:r>
    </w:p>
    <w:p w14:paraId="336EF83B" w14:textId="77777777" w:rsidR="00B42E69" w:rsidRPr="007A5B4C" w:rsidRDefault="00B42E69" w:rsidP="00B42E69">
      <w:pPr>
        <w:pStyle w:val="ListParagraph"/>
        <w:numPr>
          <w:ilvl w:val="0"/>
          <w:numId w:val="2"/>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Verification fire detection, protection/sprinkler and separation diagram with as built set up as per standard </w:t>
      </w:r>
    </w:p>
    <w:p w14:paraId="4335C634" w14:textId="77777777" w:rsidR="00B42E69" w:rsidRPr="007A5B4C" w:rsidRDefault="00B42E69" w:rsidP="00B42E69">
      <w:pPr>
        <w:pStyle w:val="ListParagraph"/>
        <w:numPr>
          <w:ilvl w:val="0"/>
          <w:numId w:val="2"/>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Verification of all license including fire, BERC (Certificate for generator), boiler and boiler operator's according to the requirement </w:t>
      </w:r>
    </w:p>
    <w:p w14:paraId="01019069" w14:textId="77777777" w:rsidR="00B42E69" w:rsidRPr="007A5B4C" w:rsidRDefault="00B42E69" w:rsidP="00B42E69">
      <w:pPr>
        <w:pStyle w:val="ListParagraph"/>
        <w:numPr>
          <w:ilvl w:val="0"/>
          <w:numId w:val="2"/>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Inspection, maintenance and testing report of the sprinkler system, stand pipe and hose system, fire pump, CFDS, Fire extinguishers, exit signs, means of egress illumination lights and battery backup (if installed) </w:t>
      </w:r>
    </w:p>
    <w:p w14:paraId="340DC59E" w14:textId="77777777" w:rsidR="00B42E69" w:rsidRPr="007A5B4C" w:rsidRDefault="00B42E69" w:rsidP="00B42E69">
      <w:pPr>
        <w:pStyle w:val="ListParagraph"/>
        <w:numPr>
          <w:ilvl w:val="0"/>
          <w:numId w:val="2"/>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Physical inspection of overall floor area as per requirements including evacuation plan and floor wise egress map, floor wise slab thickness, fire alarm and control system, fire door, fire stairs, assembly area etc, </w:t>
      </w:r>
    </w:p>
    <w:p w14:paraId="0F62FE18" w14:textId="77777777" w:rsidR="00B42E69" w:rsidRPr="007A5B4C" w:rsidRDefault="00B42E69" w:rsidP="00B42E69">
      <w:pPr>
        <w:pStyle w:val="ListParagraph"/>
        <w:numPr>
          <w:ilvl w:val="0"/>
          <w:numId w:val="2"/>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 xml:space="preserve">Verification of Training certificate or document on fire safety, firefighting, rescue, first aid and fire drill etc. </w:t>
      </w:r>
    </w:p>
    <w:p w14:paraId="63BA8677" w14:textId="77777777" w:rsidR="00B42E69" w:rsidRPr="007A5B4C" w:rsidRDefault="00B42E69" w:rsidP="00B42E69">
      <w:pPr>
        <w:pStyle w:val="ListParagraph"/>
        <w:numPr>
          <w:ilvl w:val="0"/>
          <w:numId w:val="2"/>
        </w:numPr>
        <w:spacing w:after="0" w:line="240" w:lineRule="auto"/>
        <w:rPr>
          <w:rFonts w:eastAsia="Times New Roman" w:cstheme="minorHAnsi"/>
          <w:sz w:val="24"/>
          <w:szCs w:val="24"/>
          <w:lang w:val="en-US" w:bidi="bn-IN"/>
        </w:rPr>
      </w:pPr>
      <w:r w:rsidRPr="007A5B4C">
        <w:rPr>
          <w:rFonts w:eastAsia="Times New Roman" w:cstheme="minorHAnsi"/>
          <w:sz w:val="24"/>
          <w:szCs w:val="24"/>
          <w:lang w:val="en-US" w:bidi="bn-IN"/>
        </w:rPr>
        <w:t>Report generation on existing fire safety systems of the buildings comparing with BNBC standard based on floor occupancy, finding out loopholes of existing systems and recommendations as per BNBC standard.</w:t>
      </w:r>
    </w:p>
    <w:p w14:paraId="05C57E14" w14:textId="77777777" w:rsidR="00B42E69" w:rsidRPr="007A5B4C" w:rsidRDefault="00B42E69" w:rsidP="00B42E69">
      <w:pPr>
        <w:spacing w:after="0" w:line="240" w:lineRule="auto"/>
        <w:rPr>
          <w:rFonts w:eastAsia="Times New Roman" w:cstheme="minorHAnsi"/>
          <w:sz w:val="24"/>
          <w:szCs w:val="24"/>
          <w:lang w:val="en-US" w:bidi="bn-IN"/>
        </w:rPr>
      </w:pPr>
    </w:p>
    <w:p w14:paraId="1E16AEE9" w14:textId="1CECD33B" w:rsidR="00B42E69" w:rsidRPr="007A5B4C" w:rsidRDefault="00B42E69" w:rsidP="00B42E69">
      <w:pPr>
        <w:spacing w:after="0" w:line="240" w:lineRule="auto"/>
        <w:rPr>
          <w:rFonts w:eastAsia="Times New Roman" w:cstheme="minorHAnsi"/>
          <w:b/>
          <w:bCs/>
          <w:sz w:val="24"/>
          <w:szCs w:val="24"/>
          <w:lang w:val="en-US" w:bidi="bn-IN"/>
        </w:rPr>
      </w:pPr>
      <w:r w:rsidRPr="007A5B4C">
        <w:rPr>
          <w:rFonts w:eastAsia="Times New Roman" w:cstheme="minorHAnsi"/>
          <w:b/>
          <w:bCs/>
          <w:sz w:val="24"/>
          <w:szCs w:val="24"/>
          <w:lang w:val="en-US" w:bidi="bn-IN"/>
        </w:rPr>
        <w:lastRenderedPageBreak/>
        <w:t xml:space="preserve">Structural safety  </w:t>
      </w:r>
    </w:p>
    <w:p w14:paraId="6740E953" w14:textId="77777777" w:rsidR="00B42E69" w:rsidRPr="007A5B4C" w:rsidRDefault="00B42E69" w:rsidP="00B42E69">
      <w:pPr>
        <w:pStyle w:val="ListParagraph"/>
        <w:numPr>
          <w:ilvl w:val="0"/>
          <w:numId w:val="6"/>
        </w:numPr>
        <w:spacing w:after="0" w:line="240" w:lineRule="auto"/>
        <w:rPr>
          <w:rFonts w:eastAsia="Times New Roman" w:cstheme="minorHAnsi"/>
          <w:sz w:val="24"/>
          <w:szCs w:val="24"/>
          <w:lang w:val="en-US" w:bidi="bn-IN"/>
        </w:rPr>
      </w:pPr>
      <w:r w:rsidRPr="007A5B4C">
        <w:rPr>
          <w:rFonts w:cstheme="minorHAnsi"/>
          <w:sz w:val="24"/>
          <w:szCs w:val="24"/>
        </w:rPr>
        <w:t>Verification of all structural design &amp; drawing of existing buildings.</w:t>
      </w:r>
    </w:p>
    <w:p w14:paraId="4043F656" w14:textId="283AB898" w:rsidR="00B42E69" w:rsidRPr="007A5B4C" w:rsidRDefault="00B42E69" w:rsidP="00B42E69">
      <w:pPr>
        <w:pStyle w:val="ListParagraph"/>
        <w:numPr>
          <w:ilvl w:val="0"/>
          <w:numId w:val="6"/>
        </w:numPr>
        <w:spacing w:after="0" w:line="240" w:lineRule="auto"/>
        <w:rPr>
          <w:rFonts w:eastAsia="Times New Roman" w:cstheme="minorHAnsi"/>
          <w:sz w:val="24"/>
          <w:szCs w:val="24"/>
          <w:lang w:val="en-US" w:bidi="bn-IN"/>
        </w:rPr>
      </w:pPr>
      <w:r w:rsidRPr="007A5B4C">
        <w:rPr>
          <w:rFonts w:cstheme="minorHAnsi"/>
          <w:sz w:val="24"/>
          <w:szCs w:val="24"/>
        </w:rPr>
        <w:t>Checking if construction works performed as per structural design, standard materials and work quality</w:t>
      </w:r>
    </w:p>
    <w:p w14:paraId="0A4E0B46" w14:textId="77777777" w:rsidR="00B42E69" w:rsidRPr="007A5B4C" w:rsidRDefault="00B42E69" w:rsidP="00B42E69">
      <w:pPr>
        <w:pStyle w:val="ListParagraph"/>
        <w:numPr>
          <w:ilvl w:val="0"/>
          <w:numId w:val="6"/>
        </w:numPr>
        <w:spacing w:after="0" w:line="240" w:lineRule="auto"/>
        <w:rPr>
          <w:rFonts w:eastAsia="Times New Roman" w:cstheme="minorHAnsi"/>
          <w:sz w:val="24"/>
          <w:szCs w:val="24"/>
          <w:lang w:val="en-US" w:bidi="bn-IN"/>
        </w:rPr>
      </w:pPr>
      <w:r w:rsidRPr="007A5B4C">
        <w:rPr>
          <w:rFonts w:cstheme="minorHAnsi"/>
          <w:sz w:val="24"/>
          <w:szCs w:val="24"/>
        </w:rPr>
        <w:t xml:space="preserve">Checking of occupancies in different floors, </w:t>
      </w:r>
    </w:p>
    <w:p w14:paraId="6F134196" w14:textId="77777777" w:rsidR="00B42E69" w:rsidRPr="007A5B4C" w:rsidRDefault="00B42E69" w:rsidP="00B42E69">
      <w:pPr>
        <w:pStyle w:val="ListParagraph"/>
        <w:numPr>
          <w:ilvl w:val="0"/>
          <w:numId w:val="6"/>
        </w:numPr>
        <w:spacing w:after="0" w:line="240" w:lineRule="auto"/>
        <w:rPr>
          <w:rFonts w:eastAsia="Times New Roman" w:cstheme="minorHAnsi"/>
          <w:sz w:val="24"/>
          <w:szCs w:val="24"/>
          <w:lang w:val="en-US" w:bidi="bn-IN"/>
        </w:rPr>
      </w:pPr>
      <w:r w:rsidRPr="007A5B4C">
        <w:rPr>
          <w:rFonts w:cstheme="minorHAnsi"/>
          <w:sz w:val="24"/>
          <w:szCs w:val="24"/>
        </w:rPr>
        <w:t xml:space="preserve">Checking of deflections, deformations and any other noticeable physical damages of any structural components of existing buildings. </w:t>
      </w:r>
    </w:p>
    <w:p w14:paraId="25451061" w14:textId="609DEF63" w:rsidR="00B42E69" w:rsidRPr="007A5B4C" w:rsidRDefault="00B42E69" w:rsidP="00B42E69">
      <w:pPr>
        <w:pStyle w:val="ListParagraph"/>
        <w:numPr>
          <w:ilvl w:val="0"/>
          <w:numId w:val="6"/>
        </w:numPr>
        <w:spacing w:after="0" w:line="240" w:lineRule="auto"/>
        <w:rPr>
          <w:rFonts w:eastAsia="Times New Roman" w:cstheme="minorHAnsi"/>
          <w:sz w:val="24"/>
          <w:szCs w:val="24"/>
          <w:lang w:val="en-US" w:bidi="bn-IN"/>
        </w:rPr>
      </w:pPr>
      <w:r w:rsidRPr="007A5B4C">
        <w:rPr>
          <w:rFonts w:cstheme="minorHAnsi"/>
          <w:sz w:val="24"/>
          <w:szCs w:val="24"/>
        </w:rPr>
        <w:t>Report generation on existing structural design of the buildings comparing with BNBC standard based on floor occupancy, finding out shortcomings of existing building systems and recommendations as per Building Code.</w:t>
      </w:r>
    </w:p>
    <w:p w14:paraId="1367C879" w14:textId="77777777" w:rsidR="00CE51C8" w:rsidRPr="00334A8C" w:rsidRDefault="00CE51C8" w:rsidP="00F74122">
      <w:pPr>
        <w:rPr>
          <w:rFonts w:ascii="Palatino Linotype" w:hAnsi="Palatino Linotype"/>
          <w:b/>
          <w:bCs/>
        </w:rPr>
      </w:pPr>
    </w:p>
    <w:p w14:paraId="56243C69" w14:textId="437FA849" w:rsidR="00F74122" w:rsidRPr="00334A8C" w:rsidRDefault="00F74122" w:rsidP="00F74122">
      <w:pPr>
        <w:rPr>
          <w:rFonts w:ascii="Palatino Linotype" w:hAnsi="Palatino Linotype"/>
          <w:b/>
          <w:bCs/>
          <w:sz w:val="24"/>
          <w:szCs w:val="24"/>
        </w:rPr>
      </w:pPr>
      <w:r w:rsidRPr="00334A8C">
        <w:rPr>
          <w:rFonts w:ascii="Palatino Linotype" w:hAnsi="Palatino Linotype"/>
          <w:b/>
          <w:bCs/>
          <w:sz w:val="24"/>
          <w:szCs w:val="24"/>
        </w:rPr>
        <w:t xml:space="preserve">Methodology and approach </w:t>
      </w:r>
    </w:p>
    <w:p w14:paraId="64CD3601" w14:textId="77777777" w:rsidR="007A5B4C" w:rsidRPr="00651E8F" w:rsidRDefault="007A5B4C" w:rsidP="007A5B4C">
      <w:pPr>
        <w:jc w:val="both"/>
        <w:rPr>
          <w:b/>
        </w:rPr>
      </w:pPr>
      <w:r w:rsidRPr="00651E8F">
        <w:rPr>
          <w:b/>
        </w:rPr>
        <w:t xml:space="preserve">Methodology: </w:t>
      </w:r>
    </w:p>
    <w:p w14:paraId="74EAD95C" w14:textId="77777777" w:rsidR="00312D7B" w:rsidRDefault="007A5B4C" w:rsidP="007A5B4C">
      <w:pPr>
        <w:jc w:val="both"/>
        <w:rPr>
          <w:sz w:val="24"/>
          <w:szCs w:val="24"/>
        </w:rPr>
      </w:pPr>
      <w:r w:rsidRPr="007A5B4C">
        <w:rPr>
          <w:sz w:val="24"/>
          <w:szCs w:val="24"/>
        </w:rPr>
        <w:t>The consulting organization should employ both qualitative and quantitative investigation techniques with scientific and statistical basis for generalization of study</w:t>
      </w:r>
      <w:r>
        <w:rPr>
          <w:sz w:val="24"/>
          <w:szCs w:val="24"/>
        </w:rPr>
        <w:t>/assessment</w:t>
      </w:r>
      <w:r w:rsidRPr="007A5B4C">
        <w:rPr>
          <w:sz w:val="24"/>
          <w:szCs w:val="24"/>
        </w:rPr>
        <w:t xml:space="preserve"> findings, and draw conclusions. It should gather primary information along with existing secondary information to analyze the findings.  </w:t>
      </w:r>
    </w:p>
    <w:tbl>
      <w:tblPr>
        <w:tblpPr w:leftFromText="180" w:rightFromText="180" w:vertAnchor="text" w:horzAnchor="margin" w:tblpXSpec="center" w:tblpY="-203"/>
        <w:tblW w:w="5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330"/>
        <w:gridCol w:w="1738"/>
        <w:gridCol w:w="3111"/>
      </w:tblGrid>
      <w:tr w:rsidR="00312D7B" w:rsidRPr="00945120" w14:paraId="4458F237" w14:textId="77777777" w:rsidTr="00945120">
        <w:trPr>
          <w:trHeight w:val="288"/>
          <w:tblHeader/>
        </w:trPr>
        <w:tc>
          <w:tcPr>
            <w:tcW w:w="1043" w:type="pct"/>
            <w:vMerge w:val="restart"/>
            <w:shd w:val="clear" w:color="auto" w:fill="FFFFFF" w:themeFill="background1"/>
          </w:tcPr>
          <w:p w14:paraId="703355DE" w14:textId="77777777" w:rsidR="00312D7B" w:rsidRPr="00945120" w:rsidRDefault="00312D7B" w:rsidP="00A000FC">
            <w:pPr>
              <w:rPr>
                <w:rFonts w:cstheme="minorHAnsi"/>
                <w:b/>
                <w:lang w:val="en-GB"/>
              </w:rPr>
            </w:pPr>
            <w:r w:rsidRPr="00945120">
              <w:rPr>
                <w:rFonts w:cstheme="minorHAnsi"/>
                <w:b/>
                <w:bCs/>
              </w:rPr>
              <w:lastRenderedPageBreak/>
              <w:t>Data collection techniques</w:t>
            </w:r>
          </w:p>
        </w:tc>
        <w:tc>
          <w:tcPr>
            <w:tcW w:w="2452" w:type="pct"/>
            <w:gridSpan w:val="2"/>
            <w:shd w:val="clear" w:color="auto" w:fill="FFFFFF" w:themeFill="background1"/>
          </w:tcPr>
          <w:p w14:paraId="7C7225B3" w14:textId="77777777" w:rsidR="00312D7B" w:rsidRPr="00945120" w:rsidRDefault="00312D7B" w:rsidP="00A000FC">
            <w:pPr>
              <w:rPr>
                <w:rFonts w:cstheme="minorHAnsi"/>
                <w:b/>
                <w:bCs/>
              </w:rPr>
            </w:pPr>
            <w:r w:rsidRPr="00945120">
              <w:rPr>
                <w:rFonts w:cstheme="minorHAnsi"/>
                <w:b/>
                <w:bCs/>
              </w:rPr>
              <w:t>Type and number of sessions</w:t>
            </w:r>
          </w:p>
        </w:tc>
        <w:tc>
          <w:tcPr>
            <w:tcW w:w="1505" w:type="pct"/>
            <w:vMerge w:val="restart"/>
            <w:shd w:val="clear" w:color="auto" w:fill="FFFFFF" w:themeFill="background1"/>
          </w:tcPr>
          <w:p w14:paraId="421D2E33" w14:textId="77777777" w:rsidR="00312D7B" w:rsidRPr="00945120" w:rsidRDefault="00312D7B" w:rsidP="00A000FC">
            <w:pPr>
              <w:rPr>
                <w:rFonts w:cstheme="minorHAnsi"/>
                <w:b/>
                <w:lang w:val="en-GB"/>
              </w:rPr>
            </w:pPr>
          </w:p>
          <w:p w14:paraId="74824333" w14:textId="77777777" w:rsidR="00312D7B" w:rsidRPr="00945120" w:rsidRDefault="00312D7B" w:rsidP="00A000FC">
            <w:pPr>
              <w:rPr>
                <w:rFonts w:cstheme="minorHAnsi"/>
                <w:b/>
                <w:lang w:val="en-GB"/>
              </w:rPr>
            </w:pPr>
            <w:r w:rsidRPr="00945120">
              <w:rPr>
                <w:rFonts w:cstheme="minorHAnsi"/>
                <w:b/>
                <w:bCs/>
              </w:rPr>
              <w:t xml:space="preserve">Themes </w:t>
            </w:r>
          </w:p>
        </w:tc>
      </w:tr>
      <w:tr w:rsidR="00312D7B" w:rsidRPr="00945120" w14:paraId="25FC03E1" w14:textId="77777777" w:rsidTr="00945120">
        <w:trPr>
          <w:trHeight w:val="288"/>
          <w:tblHeader/>
        </w:trPr>
        <w:tc>
          <w:tcPr>
            <w:tcW w:w="1043" w:type="pct"/>
            <w:vMerge/>
          </w:tcPr>
          <w:p w14:paraId="2350F708" w14:textId="77777777" w:rsidR="00312D7B" w:rsidRPr="00945120" w:rsidRDefault="00312D7B" w:rsidP="00A000FC">
            <w:pPr>
              <w:rPr>
                <w:rFonts w:cstheme="minorHAnsi"/>
                <w:b/>
                <w:lang w:val="en-GB"/>
              </w:rPr>
            </w:pPr>
          </w:p>
        </w:tc>
        <w:tc>
          <w:tcPr>
            <w:tcW w:w="1611" w:type="pct"/>
            <w:shd w:val="clear" w:color="auto" w:fill="FFFFFF" w:themeFill="background1"/>
          </w:tcPr>
          <w:p w14:paraId="7421B995" w14:textId="77777777" w:rsidR="00312D7B" w:rsidRPr="00945120" w:rsidRDefault="00312D7B" w:rsidP="00A000FC">
            <w:pPr>
              <w:rPr>
                <w:rFonts w:cstheme="minorHAnsi"/>
                <w:b/>
                <w:bCs/>
              </w:rPr>
            </w:pPr>
            <w:r w:rsidRPr="00945120">
              <w:rPr>
                <w:rFonts w:cstheme="minorHAnsi"/>
                <w:b/>
                <w:bCs/>
              </w:rPr>
              <w:t>Respondent group</w:t>
            </w:r>
          </w:p>
        </w:tc>
        <w:tc>
          <w:tcPr>
            <w:tcW w:w="841" w:type="pct"/>
            <w:shd w:val="clear" w:color="auto" w:fill="FFFFFF" w:themeFill="background1"/>
          </w:tcPr>
          <w:p w14:paraId="4CD97480" w14:textId="77777777" w:rsidR="00312D7B" w:rsidRPr="00945120" w:rsidRDefault="00312D7B" w:rsidP="00A000FC">
            <w:pPr>
              <w:rPr>
                <w:rFonts w:cstheme="minorHAnsi"/>
                <w:b/>
                <w:bCs/>
              </w:rPr>
            </w:pPr>
            <w:r w:rsidRPr="00945120">
              <w:rPr>
                <w:rFonts w:cstheme="minorHAnsi"/>
                <w:b/>
                <w:bCs/>
              </w:rPr>
              <w:t>Number</w:t>
            </w:r>
          </w:p>
        </w:tc>
        <w:tc>
          <w:tcPr>
            <w:tcW w:w="1505" w:type="pct"/>
            <w:vMerge/>
            <w:shd w:val="clear" w:color="auto" w:fill="FFFFFF" w:themeFill="background1"/>
          </w:tcPr>
          <w:p w14:paraId="4D573794" w14:textId="77777777" w:rsidR="00312D7B" w:rsidRPr="00945120" w:rsidRDefault="00312D7B" w:rsidP="00A000FC">
            <w:pPr>
              <w:rPr>
                <w:rFonts w:cstheme="minorHAnsi"/>
                <w:b/>
                <w:lang w:val="en-GB"/>
              </w:rPr>
            </w:pPr>
          </w:p>
        </w:tc>
      </w:tr>
      <w:tr w:rsidR="00312D7B" w:rsidRPr="00945120" w14:paraId="1765B140" w14:textId="77777777" w:rsidTr="00945120">
        <w:trPr>
          <w:trHeight w:val="587"/>
        </w:trPr>
        <w:tc>
          <w:tcPr>
            <w:tcW w:w="1043" w:type="pct"/>
            <w:vMerge w:val="restart"/>
            <w:vAlign w:val="center"/>
          </w:tcPr>
          <w:p w14:paraId="502DA3C8" w14:textId="77777777" w:rsidR="00312D7B" w:rsidRPr="00945120" w:rsidRDefault="00312D7B" w:rsidP="00A000FC">
            <w:pPr>
              <w:rPr>
                <w:rFonts w:cstheme="minorHAnsi"/>
              </w:rPr>
            </w:pPr>
            <w:r w:rsidRPr="00945120">
              <w:rPr>
                <w:rFonts w:cstheme="minorHAnsi"/>
              </w:rPr>
              <w:t>Focus Group Discussions: (16)</w:t>
            </w:r>
          </w:p>
        </w:tc>
        <w:tc>
          <w:tcPr>
            <w:tcW w:w="1611" w:type="pct"/>
            <w:shd w:val="clear" w:color="auto" w:fill="auto"/>
            <w:vAlign w:val="center"/>
          </w:tcPr>
          <w:p w14:paraId="01F10FB8" w14:textId="77777777" w:rsidR="00312D7B" w:rsidRPr="00945120" w:rsidRDefault="00312D7B" w:rsidP="00A000FC">
            <w:pPr>
              <w:rPr>
                <w:rFonts w:cstheme="minorHAnsi"/>
              </w:rPr>
            </w:pPr>
            <w:r w:rsidRPr="00945120">
              <w:rPr>
                <w:rFonts w:cstheme="minorHAnsi"/>
              </w:rPr>
              <w:t xml:space="preserve">Workers (male child) two from Each Union </w:t>
            </w:r>
          </w:p>
        </w:tc>
        <w:tc>
          <w:tcPr>
            <w:tcW w:w="841" w:type="pct"/>
            <w:shd w:val="clear" w:color="auto" w:fill="auto"/>
            <w:vAlign w:val="center"/>
          </w:tcPr>
          <w:p w14:paraId="17F4B414" w14:textId="77777777" w:rsidR="00312D7B" w:rsidRPr="00945120" w:rsidRDefault="00312D7B" w:rsidP="00945120">
            <w:pPr>
              <w:jc w:val="center"/>
              <w:rPr>
                <w:rFonts w:cstheme="minorHAnsi"/>
              </w:rPr>
            </w:pPr>
            <w:r w:rsidRPr="00945120">
              <w:rPr>
                <w:rFonts w:cstheme="minorHAnsi"/>
              </w:rPr>
              <w:t>04</w:t>
            </w:r>
          </w:p>
        </w:tc>
        <w:tc>
          <w:tcPr>
            <w:tcW w:w="1505" w:type="pct"/>
            <w:vMerge w:val="restart"/>
            <w:shd w:val="clear" w:color="auto" w:fill="auto"/>
            <w:vAlign w:val="center"/>
          </w:tcPr>
          <w:p w14:paraId="21AD1985" w14:textId="77777777" w:rsidR="00312D7B" w:rsidRPr="00945120" w:rsidRDefault="00312D7B" w:rsidP="00A000FC">
            <w:pPr>
              <w:rPr>
                <w:rFonts w:cstheme="minorHAnsi"/>
              </w:rPr>
            </w:pPr>
            <w:r w:rsidRPr="00945120">
              <w:rPr>
                <w:rFonts w:cstheme="minorHAnsi"/>
              </w:rPr>
              <w:t>Perspective of workers, perception, existing practices on OSH, identifying occupational health hazards and risks, environmental hazards, status of working environment, child labour, labour rights situation focusing OSH</w:t>
            </w:r>
          </w:p>
          <w:p w14:paraId="08B8BAEB" w14:textId="77777777" w:rsidR="00312D7B" w:rsidRPr="00945120" w:rsidRDefault="00312D7B" w:rsidP="00A000FC">
            <w:pPr>
              <w:rPr>
                <w:rFonts w:cstheme="minorHAnsi"/>
              </w:rPr>
            </w:pPr>
          </w:p>
          <w:p w14:paraId="31E7744E" w14:textId="77777777" w:rsidR="00312D7B" w:rsidRPr="00945120" w:rsidRDefault="00312D7B" w:rsidP="00A000FC">
            <w:pPr>
              <w:rPr>
                <w:rFonts w:cstheme="minorHAnsi"/>
              </w:rPr>
            </w:pPr>
          </w:p>
        </w:tc>
      </w:tr>
      <w:tr w:rsidR="00312D7B" w:rsidRPr="00945120" w14:paraId="1A5DF7D5" w14:textId="77777777" w:rsidTr="00945120">
        <w:trPr>
          <w:trHeight w:val="440"/>
        </w:trPr>
        <w:tc>
          <w:tcPr>
            <w:tcW w:w="1043" w:type="pct"/>
            <w:vMerge/>
            <w:vAlign w:val="center"/>
          </w:tcPr>
          <w:p w14:paraId="334DA0B8" w14:textId="77777777" w:rsidR="00312D7B" w:rsidRPr="00945120" w:rsidRDefault="00312D7B" w:rsidP="00A000FC">
            <w:pPr>
              <w:rPr>
                <w:rFonts w:cstheme="minorHAnsi"/>
              </w:rPr>
            </w:pPr>
          </w:p>
        </w:tc>
        <w:tc>
          <w:tcPr>
            <w:tcW w:w="1611" w:type="pct"/>
            <w:shd w:val="clear" w:color="auto" w:fill="auto"/>
            <w:vAlign w:val="center"/>
          </w:tcPr>
          <w:p w14:paraId="441B7CB9" w14:textId="77777777" w:rsidR="00312D7B" w:rsidRPr="00945120" w:rsidRDefault="00312D7B" w:rsidP="00A000FC">
            <w:pPr>
              <w:rPr>
                <w:rFonts w:cstheme="minorHAnsi"/>
              </w:rPr>
            </w:pPr>
            <w:r w:rsidRPr="00945120">
              <w:rPr>
                <w:rFonts w:cstheme="minorHAnsi"/>
              </w:rPr>
              <w:t>Workers (female child) two from Each Union</w:t>
            </w:r>
          </w:p>
        </w:tc>
        <w:tc>
          <w:tcPr>
            <w:tcW w:w="841" w:type="pct"/>
            <w:shd w:val="clear" w:color="auto" w:fill="auto"/>
            <w:vAlign w:val="center"/>
          </w:tcPr>
          <w:p w14:paraId="6D8CA2CA" w14:textId="77777777" w:rsidR="00312D7B" w:rsidRPr="00945120" w:rsidRDefault="00312D7B" w:rsidP="00945120">
            <w:pPr>
              <w:jc w:val="center"/>
              <w:rPr>
                <w:rFonts w:cstheme="minorHAnsi"/>
              </w:rPr>
            </w:pPr>
            <w:r w:rsidRPr="00945120">
              <w:rPr>
                <w:rFonts w:cstheme="minorHAnsi"/>
              </w:rPr>
              <w:t>04</w:t>
            </w:r>
          </w:p>
        </w:tc>
        <w:tc>
          <w:tcPr>
            <w:tcW w:w="1505" w:type="pct"/>
            <w:vMerge/>
            <w:shd w:val="clear" w:color="auto" w:fill="auto"/>
            <w:vAlign w:val="center"/>
          </w:tcPr>
          <w:p w14:paraId="474E1A91" w14:textId="77777777" w:rsidR="00312D7B" w:rsidRPr="00945120" w:rsidRDefault="00312D7B" w:rsidP="00A000FC">
            <w:pPr>
              <w:rPr>
                <w:rFonts w:cstheme="minorHAnsi"/>
              </w:rPr>
            </w:pPr>
          </w:p>
        </w:tc>
      </w:tr>
      <w:tr w:rsidR="00312D7B" w:rsidRPr="00945120" w14:paraId="569DB38B" w14:textId="77777777" w:rsidTr="00945120">
        <w:trPr>
          <w:trHeight w:val="350"/>
        </w:trPr>
        <w:tc>
          <w:tcPr>
            <w:tcW w:w="1043" w:type="pct"/>
            <w:vMerge/>
            <w:vAlign w:val="center"/>
          </w:tcPr>
          <w:p w14:paraId="21F960FA" w14:textId="77777777" w:rsidR="00312D7B" w:rsidRPr="00945120" w:rsidRDefault="00312D7B" w:rsidP="00A000FC">
            <w:pPr>
              <w:rPr>
                <w:rFonts w:cstheme="minorHAnsi"/>
              </w:rPr>
            </w:pPr>
          </w:p>
        </w:tc>
        <w:tc>
          <w:tcPr>
            <w:tcW w:w="1611" w:type="pct"/>
            <w:shd w:val="clear" w:color="auto" w:fill="auto"/>
            <w:vAlign w:val="center"/>
          </w:tcPr>
          <w:p w14:paraId="770A0BF1" w14:textId="77777777" w:rsidR="00312D7B" w:rsidRPr="00945120" w:rsidRDefault="00312D7B" w:rsidP="00A000FC">
            <w:pPr>
              <w:rPr>
                <w:rFonts w:cstheme="minorHAnsi"/>
              </w:rPr>
            </w:pPr>
            <w:r w:rsidRPr="00945120">
              <w:rPr>
                <w:rFonts w:cstheme="minorHAnsi"/>
              </w:rPr>
              <w:t>Workers (Male) two from Each Union</w:t>
            </w:r>
          </w:p>
        </w:tc>
        <w:tc>
          <w:tcPr>
            <w:tcW w:w="841" w:type="pct"/>
            <w:shd w:val="clear" w:color="auto" w:fill="auto"/>
            <w:vAlign w:val="center"/>
          </w:tcPr>
          <w:p w14:paraId="5779146F" w14:textId="77777777" w:rsidR="00312D7B" w:rsidRPr="00945120" w:rsidRDefault="00312D7B" w:rsidP="00945120">
            <w:pPr>
              <w:jc w:val="center"/>
              <w:rPr>
                <w:rFonts w:cstheme="minorHAnsi"/>
              </w:rPr>
            </w:pPr>
            <w:r w:rsidRPr="00945120">
              <w:rPr>
                <w:rFonts w:cstheme="minorHAnsi"/>
              </w:rPr>
              <w:t>04</w:t>
            </w:r>
          </w:p>
        </w:tc>
        <w:tc>
          <w:tcPr>
            <w:tcW w:w="1505" w:type="pct"/>
            <w:vMerge/>
            <w:shd w:val="clear" w:color="auto" w:fill="auto"/>
            <w:vAlign w:val="center"/>
          </w:tcPr>
          <w:p w14:paraId="5B11D824" w14:textId="77777777" w:rsidR="00312D7B" w:rsidRPr="00945120" w:rsidRDefault="00312D7B" w:rsidP="00A000FC">
            <w:pPr>
              <w:rPr>
                <w:rFonts w:cstheme="minorHAnsi"/>
              </w:rPr>
            </w:pPr>
          </w:p>
        </w:tc>
      </w:tr>
      <w:tr w:rsidR="00312D7B" w:rsidRPr="00945120" w14:paraId="2475FDB9" w14:textId="77777777" w:rsidTr="00945120">
        <w:trPr>
          <w:trHeight w:val="305"/>
        </w:trPr>
        <w:tc>
          <w:tcPr>
            <w:tcW w:w="1043" w:type="pct"/>
            <w:vMerge/>
            <w:vAlign w:val="center"/>
          </w:tcPr>
          <w:p w14:paraId="7AFDCCDC" w14:textId="77777777" w:rsidR="00312D7B" w:rsidRPr="00945120" w:rsidRDefault="00312D7B" w:rsidP="00A000FC">
            <w:pPr>
              <w:rPr>
                <w:rFonts w:cstheme="minorHAnsi"/>
              </w:rPr>
            </w:pPr>
          </w:p>
        </w:tc>
        <w:tc>
          <w:tcPr>
            <w:tcW w:w="1611" w:type="pct"/>
            <w:shd w:val="clear" w:color="auto" w:fill="auto"/>
            <w:vAlign w:val="center"/>
          </w:tcPr>
          <w:p w14:paraId="75A90D4E" w14:textId="77777777" w:rsidR="00312D7B" w:rsidRPr="00945120" w:rsidRDefault="00312D7B" w:rsidP="00A000FC">
            <w:pPr>
              <w:rPr>
                <w:rFonts w:cstheme="minorHAnsi"/>
              </w:rPr>
            </w:pPr>
            <w:r w:rsidRPr="00945120">
              <w:rPr>
                <w:rFonts w:cstheme="minorHAnsi"/>
              </w:rPr>
              <w:t>Workers (Female) two from Each Union</w:t>
            </w:r>
          </w:p>
        </w:tc>
        <w:tc>
          <w:tcPr>
            <w:tcW w:w="841" w:type="pct"/>
            <w:shd w:val="clear" w:color="auto" w:fill="auto"/>
            <w:vAlign w:val="center"/>
          </w:tcPr>
          <w:p w14:paraId="71704D10" w14:textId="77777777" w:rsidR="00312D7B" w:rsidRPr="00945120" w:rsidRDefault="00312D7B" w:rsidP="00945120">
            <w:pPr>
              <w:jc w:val="center"/>
              <w:rPr>
                <w:rFonts w:cstheme="minorHAnsi"/>
              </w:rPr>
            </w:pPr>
            <w:r w:rsidRPr="00945120">
              <w:rPr>
                <w:rFonts w:cstheme="minorHAnsi"/>
              </w:rPr>
              <w:t>04</w:t>
            </w:r>
          </w:p>
        </w:tc>
        <w:tc>
          <w:tcPr>
            <w:tcW w:w="1505" w:type="pct"/>
            <w:vMerge/>
            <w:shd w:val="clear" w:color="auto" w:fill="auto"/>
            <w:vAlign w:val="center"/>
          </w:tcPr>
          <w:p w14:paraId="7C495605" w14:textId="77777777" w:rsidR="00312D7B" w:rsidRPr="00945120" w:rsidRDefault="00312D7B" w:rsidP="00A000FC">
            <w:pPr>
              <w:rPr>
                <w:rFonts w:cstheme="minorHAnsi"/>
              </w:rPr>
            </w:pPr>
          </w:p>
        </w:tc>
      </w:tr>
      <w:tr w:rsidR="00312D7B" w:rsidRPr="00945120" w14:paraId="2643DD8D" w14:textId="77777777" w:rsidTr="00945120">
        <w:trPr>
          <w:trHeight w:val="4640"/>
        </w:trPr>
        <w:tc>
          <w:tcPr>
            <w:tcW w:w="1043" w:type="pct"/>
            <w:vAlign w:val="center"/>
          </w:tcPr>
          <w:p w14:paraId="5D935814" w14:textId="77777777" w:rsidR="00312D7B" w:rsidRPr="00945120" w:rsidRDefault="00312D7B" w:rsidP="00A000FC">
            <w:pPr>
              <w:rPr>
                <w:rFonts w:cstheme="minorHAnsi"/>
              </w:rPr>
            </w:pPr>
            <w:r w:rsidRPr="00945120">
              <w:rPr>
                <w:rFonts w:cstheme="minorHAnsi"/>
              </w:rPr>
              <w:t>Key Informant Interview (10)</w:t>
            </w:r>
          </w:p>
        </w:tc>
        <w:tc>
          <w:tcPr>
            <w:tcW w:w="1611" w:type="pct"/>
            <w:shd w:val="clear" w:color="auto" w:fill="auto"/>
            <w:vAlign w:val="center"/>
          </w:tcPr>
          <w:p w14:paraId="78A6E81B" w14:textId="77777777" w:rsidR="00312D7B" w:rsidRPr="00945120" w:rsidRDefault="00312D7B" w:rsidP="00A000FC">
            <w:pPr>
              <w:pStyle w:val="ListParagraph"/>
              <w:numPr>
                <w:ilvl w:val="0"/>
                <w:numId w:val="11"/>
              </w:numPr>
              <w:rPr>
                <w:rFonts w:cstheme="minorHAnsi"/>
              </w:rPr>
            </w:pPr>
            <w:r w:rsidRPr="00945120">
              <w:rPr>
                <w:rFonts w:cstheme="minorHAnsi"/>
              </w:rPr>
              <w:t>Building Owner (one from each union)</w:t>
            </w:r>
          </w:p>
          <w:p w14:paraId="362342C7" w14:textId="77777777" w:rsidR="00312D7B" w:rsidRPr="00945120" w:rsidRDefault="00312D7B" w:rsidP="00A000FC">
            <w:pPr>
              <w:pStyle w:val="ListParagraph"/>
              <w:numPr>
                <w:ilvl w:val="0"/>
                <w:numId w:val="11"/>
              </w:numPr>
              <w:rPr>
                <w:rFonts w:cstheme="minorHAnsi"/>
              </w:rPr>
            </w:pPr>
            <w:r w:rsidRPr="00945120">
              <w:rPr>
                <w:rFonts w:cstheme="minorHAnsi"/>
              </w:rPr>
              <w:t>Factory owner (one from each union)</w:t>
            </w:r>
          </w:p>
          <w:p w14:paraId="01C5A696" w14:textId="77777777" w:rsidR="00312D7B" w:rsidRPr="00945120" w:rsidRDefault="00312D7B" w:rsidP="00A000FC">
            <w:pPr>
              <w:pStyle w:val="ListParagraph"/>
              <w:numPr>
                <w:ilvl w:val="0"/>
                <w:numId w:val="11"/>
              </w:numPr>
              <w:rPr>
                <w:rFonts w:cstheme="minorHAnsi"/>
              </w:rPr>
            </w:pPr>
            <w:r w:rsidRPr="00945120">
              <w:rPr>
                <w:rFonts w:cstheme="minorHAnsi"/>
              </w:rPr>
              <w:t>Representative of Employers Association (one from each union)</w:t>
            </w:r>
          </w:p>
          <w:p w14:paraId="16947740" w14:textId="77777777" w:rsidR="00312D7B" w:rsidRPr="00945120" w:rsidRDefault="00312D7B" w:rsidP="00A000FC">
            <w:pPr>
              <w:pStyle w:val="ListParagraph"/>
              <w:numPr>
                <w:ilvl w:val="0"/>
                <w:numId w:val="11"/>
              </w:numPr>
              <w:rPr>
                <w:rFonts w:cstheme="minorHAnsi"/>
              </w:rPr>
            </w:pPr>
            <w:r w:rsidRPr="00945120">
              <w:rPr>
                <w:rFonts w:cstheme="minorHAnsi"/>
              </w:rPr>
              <w:t xml:space="preserve"> Local Community ((one from each union)</w:t>
            </w:r>
          </w:p>
          <w:p w14:paraId="58AF92EA" w14:textId="77777777" w:rsidR="00312D7B" w:rsidRPr="00945120" w:rsidRDefault="00312D7B" w:rsidP="00A000FC">
            <w:pPr>
              <w:pStyle w:val="ListParagraph"/>
              <w:numPr>
                <w:ilvl w:val="0"/>
                <w:numId w:val="11"/>
              </w:numPr>
              <w:rPr>
                <w:rFonts w:cstheme="minorHAnsi"/>
              </w:rPr>
            </w:pPr>
            <w:r w:rsidRPr="00945120">
              <w:rPr>
                <w:rFonts w:cstheme="minorHAnsi"/>
              </w:rPr>
              <w:t xml:space="preserve"> Personnel from Department of Inspection for Factories and Establishments (DIFE)  </w:t>
            </w:r>
          </w:p>
          <w:p w14:paraId="62A4027B" w14:textId="77777777" w:rsidR="00312D7B" w:rsidRPr="00945120" w:rsidRDefault="00312D7B" w:rsidP="00A000FC">
            <w:pPr>
              <w:pStyle w:val="ListParagraph"/>
              <w:numPr>
                <w:ilvl w:val="0"/>
                <w:numId w:val="11"/>
              </w:numPr>
              <w:rPr>
                <w:rFonts w:cstheme="minorHAnsi"/>
              </w:rPr>
            </w:pPr>
            <w:r w:rsidRPr="00945120">
              <w:rPr>
                <w:rFonts w:cstheme="minorHAnsi"/>
              </w:rPr>
              <w:t xml:space="preserve">Member of concerned civil society </w:t>
            </w:r>
          </w:p>
        </w:tc>
        <w:tc>
          <w:tcPr>
            <w:tcW w:w="841" w:type="pct"/>
            <w:shd w:val="clear" w:color="auto" w:fill="auto"/>
            <w:vAlign w:val="center"/>
          </w:tcPr>
          <w:p w14:paraId="490022F7" w14:textId="77777777" w:rsidR="00312D7B" w:rsidRPr="00945120" w:rsidRDefault="00312D7B" w:rsidP="00945120">
            <w:pPr>
              <w:jc w:val="center"/>
              <w:rPr>
                <w:rFonts w:cstheme="minorHAnsi"/>
              </w:rPr>
            </w:pPr>
            <w:r w:rsidRPr="00945120">
              <w:rPr>
                <w:rFonts w:cstheme="minorHAnsi"/>
              </w:rPr>
              <w:t>10</w:t>
            </w:r>
          </w:p>
        </w:tc>
        <w:tc>
          <w:tcPr>
            <w:tcW w:w="1505" w:type="pct"/>
            <w:vMerge w:val="restart"/>
            <w:shd w:val="clear" w:color="auto" w:fill="auto"/>
            <w:vAlign w:val="center"/>
          </w:tcPr>
          <w:p w14:paraId="254A485B" w14:textId="77777777" w:rsidR="00312D7B" w:rsidRPr="00945120" w:rsidRDefault="00312D7B" w:rsidP="00A000FC">
            <w:pPr>
              <w:rPr>
                <w:rFonts w:cstheme="minorHAnsi"/>
              </w:rPr>
            </w:pPr>
            <w:r w:rsidRPr="00945120">
              <w:rPr>
                <w:rFonts w:cstheme="minorHAnsi"/>
              </w:rPr>
              <w:t xml:space="preserve">Understanding the occupational and industrial risks and hazards including health and environmental hazards structural, electric and fire safety measures followed in accordance with the national laws and regulation and associated fire and electric risks and hazards in building and floor where the RMG is located, </w:t>
            </w:r>
          </w:p>
          <w:p w14:paraId="2DC690BE" w14:textId="77777777" w:rsidR="00312D7B" w:rsidRPr="00945120" w:rsidRDefault="00312D7B" w:rsidP="00A000FC">
            <w:pPr>
              <w:rPr>
                <w:rFonts w:cstheme="minorHAnsi"/>
              </w:rPr>
            </w:pPr>
            <w:r w:rsidRPr="00945120">
              <w:rPr>
                <w:rFonts w:cstheme="minorHAnsi"/>
              </w:rPr>
              <w:t xml:space="preserve">The perception on OSH from different stakeholders and actors’ point of view  </w:t>
            </w:r>
          </w:p>
          <w:p w14:paraId="35ABA004" w14:textId="77777777" w:rsidR="00312D7B" w:rsidRPr="00945120" w:rsidRDefault="00312D7B" w:rsidP="00A000FC">
            <w:pPr>
              <w:rPr>
                <w:rFonts w:cstheme="minorHAnsi"/>
              </w:rPr>
            </w:pPr>
            <w:r w:rsidRPr="00945120">
              <w:rPr>
                <w:rFonts w:cstheme="minorHAnsi"/>
              </w:rPr>
              <w:t>The recommendation from different actors and agency for the improvement of OSH management system and sustainable safety culture in the organization</w:t>
            </w:r>
          </w:p>
          <w:p w14:paraId="14268EE0" w14:textId="77777777" w:rsidR="00312D7B" w:rsidRPr="00945120" w:rsidRDefault="00312D7B" w:rsidP="00A000FC">
            <w:pPr>
              <w:rPr>
                <w:rFonts w:cstheme="minorHAnsi"/>
              </w:rPr>
            </w:pPr>
            <w:r w:rsidRPr="00945120">
              <w:rPr>
                <w:rFonts w:cstheme="minorHAnsi"/>
              </w:rPr>
              <w:t xml:space="preserve">Micro level analysis of their challenges like employment, gender dimensions, health hazards and security, labour right violation </w:t>
            </w:r>
          </w:p>
        </w:tc>
      </w:tr>
      <w:tr w:rsidR="00312D7B" w:rsidRPr="00945120" w14:paraId="44718D18" w14:textId="77777777" w:rsidTr="00945120">
        <w:trPr>
          <w:trHeight w:val="287"/>
        </w:trPr>
        <w:tc>
          <w:tcPr>
            <w:tcW w:w="1043" w:type="pct"/>
            <w:vAlign w:val="center"/>
          </w:tcPr>
          <w:p w14:paraId="14972A37" w14:textId="77777777" w:rsidR="00312D7B" w:rsidRPr="00945120" w:rsidRDefault="00312D7B" w:rsidP="00A000FC">
            <w:pPr>
              <w:rPr>
                <w:rFonts w:cstheme="minorHAnsi"/>
              </w:rPr>
            </w:pPr>
            <w:r w:rsidRPr="00945120">
              <w:rPr>
                <w:rFonts w:cstheme="minorHAnsi"/>
              </w:rPr>
              <w:t xml:space="preserve">Case Stories based on micro narrative </w:t>
            </w:r>
          </w:p>
          <w:p w14:paraId="063B381B" w14:textId="77777777" w:rsidR="00312D7B" w:rsidRPr="00945120" w:rsidRDefault="00312D7B" w:rsidP="00A000FC">
            <w:pPr>
              <w:rPr>
                <w:rFonts w:cstheme="minorHAnsi"/>
              </w:rPr>
            </w:pPr>
          </w:p>
        </w:tc>
        <w:tc>
          <w:tcPr>
            <w:tcW w:w="1611" w:type="pct"/>
            <w:shd w:val="clear" w:color="auto" w:fill="auto"/>
          </w:tcPr>
          <w:p w14:paraId="28E41929" w14:textId="77777777" w:rsidR="00312D7B" w:rsidRPr="00945120" w:rsidRDefault="00312D7B" w:rsidP="00A000FC">
            <w:pPr>
              <w:rPr>
                <w:rFonts w:cstheme="minorHAnsi"/>
              </w:rPr>
            </w:pPr>
            <w:r w:rsidRPr="00945120">
              <w:rPr>
                <w:rFonts w:cstheme="minorHAnsi"/>
              </w:rPr>
              <w:t xml:space="preserve">Case stories (Micro narrative) on focusing age and gender dimension in the perspective of labour rights </w:t>
            </w:r>
          </w:p>
        </w:tc>
        <w:tc>
          <w:tcPr>
            <w:tcW w:w="841" w:type="pct"/>
            <w:shd w:val="clear" w:color="auto" w:fill="auto"/>
          </w:tcPr>
          <w:p w14:paraId="51A5F9F5" w14:textId="7050C26F" w:rsidR="00312D7B" w:rsidRPr="00945120" w:rsidRDefault="00312D7B" w:rsidP="00945120">
            <w:pPr>
              <w:jc w:val="center"/>
              <w:rPr>
                <w:rFonts w:cstheme="minorHAnsi"/>
              </w:rPr>
            </w:pPr>
            <w:r w:rsidRPr="00945120">
              <w:rPr>
                <w:rFonts w:cstheme="minorHAnsi"/>
              </w:rPr>
              <w:t xml:space="preserve">06 (2female 2 male and 1 girl child, 1 boy </w:t>
            </w:r>
            <w:r w:rsidR="00945120" w:rsidRPr="00945120">
              <w:rPr>
                <w:rFonts w:cstheme="minorHAnsi"/>
              </w:rPr>
              <w:t>child)</w:t>
            </w:r>
          </w:p>
        </w:tc>
        <w:tc>
          <w:tcPr>
            <w:tcW w:w="1505" w:type="pct"/>
            <w:vMerge/>
            <w:shd w:val="clear" w:color="auto" w:fill="auto"/>
            <w:vAlign w:val="center"/>
          </w:tcPr>
          <w:p w14:paraId="67731174" w14:textId="77777777" w:rsidR="00312D7B" w:rsidRPr="00945120" w:rsidRDefault="00312D7B" w:rsidP="00A000FC">
            <w:pPr>
              <w:rPr>
                <w:rFonts w:cstheme="minorHAnsi"/>
              </w:rPr>
            </w:pPr>
          </w:p>
        </w:tc>
      </w:tr>
      <w:tr w:rsidR="00312D7B" w:rsidRPr="00945120" w14:paraId="4BAB0335" w14:textId="77777777" w:rsidTr="00945120">
        <w:trPr>
          <w:trHeight w:val="287"/>
        </w:trPr>
        <w:tc>
          <w:tcPr>
            <w:tcW w:w="1043" w:type="pct"/>
            <w:vAlign w:val="center"/>
          </w:tcPr>
          <w:p w14:paraId="533EB885" w14:textId="77777777" w:rsidR="00312D7B" w:rsidRPr="00945120" w:rsidRDefault="00312D7B" w:rsidP="00A000FC">
            <w:pPr>
              <w:rPr>
                <w:rFonts w:cstheme="minorHAnsi"/>
              </w:rPr>
            </w:pPr>
            <w:r w:rsidRPr="00945120">
              <w:rPr>
                <w:rFonts w:cstheme="minorHAnsi"/>
              </w:rPr>
              <w:t>Assessment of electric safety, fire safety and review of structural safety</w:t>
            </w:r>
          </w:p>
        </w:tc>
        <w:tc>
          <w:tcPr>
            <w:tcW w:w="1611" w:type="pct"/>
            <w:shd w:val="clear" w:color="auto" w:fill="auto"/>
          </w:tcPr>
          <w:p w14:paraId="2839A840" w14:textId="77777777" w:rsidR="00312D7B" w:rsidRPr="00945120" w:rsidRDefault="00312D7B" w:rsidP="00A000FC">
            <w:pPr>
              <w:rPr>
                <w:rFonts w:cstheme="minorHAnsi"/>
              </w:rPr>
            </w:pPr>
            <w:r w:rsidRPr="00945120">
              <w:rPr>
                <w:rFonts w:cstheme="minorHAnsi"/>
              </w:rPr>
              <w:t xml:space="preserve">Review and observe structural and electric design and plan of the building and floor together with fire safety arrangement and instrument   </w:t>
            </w:r>
          </w:p>
        </w:tc>
        <w:tc>
          <w:tcPr>
            <w:tcW w:w="841" w:type="pct"/>
            <w:shd w:val="clear" w:color="auto" w:fill="auto"/>
          </w:tcPr>
          <w:p w14:paraId="46F8623C" w14:textId="3BD29821" w:rsidR="00312D7B" w:rsidRPr="00945120" w:rsidRDefault="00312D7B" w:rsidP="00A000FC">
            <w:pPr>
              <w:rPr>
                <w:rFonts w:cstheme="minorHAnsi"/>
              </w:rPr>
            </w:pPr>
            <w:r w:rsidRPr="00945120">
              <w:rPr>
                <w:rFonts w:cstheme="minorHAnsi"/>
              </w:rPr>
              <w:t xml:space="preserve"> 5% of the total towers located in study locations where the garments or </w:t>
            </w:r>
            <w:r w:rsidRPr="00945120">
              <w:rPr>
                <w:rFonts w:cstheme="minorHAnsi"/>
              </w:rPr>
              <w:lastRenderedPageBreak/>
              <w:t>showroom located</w:t>
            </w:r>
          </w:p>
        </w:tc>
        <w:tc>
          <w:tcPr>
            <w:tcW w:w="1505" w:type="pct"/>
            <w:shd w:val="clear" w:color="auto" w:fill="auto"/>
            <w:vAlign w:val="center"/>
          </w:tcPr>
          <w:p w14:paraId="41DD8079" w14:textId="77777777" w:rsidR="00312D7B" w:rsidRPr="00945120" w:rsidRDefault="00312D7B" w:rsidP="00A000FC">
            <w:pPr>
              <w:rPr>
                <w:rFonts w:cstheme="minorHAnsi"/>
              </w:rPr>
            </w:pPr>
            <w:r w:rsidRPr="00945120">
              <w:rPr>
                <w:rFonts w:cstheme="minorHAnsi"/>
              </w:rPr>
              <w:lastRenderedPageBreak/>
              <w:t xml:space="preserve">The electric and fire safety and followed in the building and floor </w:t>
            </w:r>
          </w:p>
          <w:p w14:paraId="69967247" w14:textId="77777777" w:rsidR="00312D7B" w:rsidRPr="00945120" w:rsidRDefault="00312D7B" w:rsidP="00A000FC">
            <w:pPr>
              <w:rPr>
                <w:rFonts w:cstheme="minorHAnsi"/>
              </w:rPr>
            </w:pPr>
            <w:r w:rsidRPr="00945120">
              <w:rPr>
                <w:rFonts w:cstheme="minorHAnsi"/>
              </w:rPr>
              <w:t xml:space="preserve">The breadth and depth of risks and hazards associated with </w:t>
            </w:r>
            <w:r w:rsidRPr="00945120">
              <w:rPr>
                <w:rFonts w:cstheme="minorHAnsi"/>
              </w:rPr>
              <w:lastRenderedPageBreak/>
              <w:t xml:space="preserve">structural, electric and fire safety of the building </w:t>
            </w:r>
          </w:p>
        </w:tc>
      </w:tr>
    </w:tbl>
    <w:p w14:paraId="08DCE421" w14:textId="37C3FDC2" w:rsidR="00E15854" w:rsidRPr="007A5B4C" w:rsidRDefault="007A5B4C" w:rsidP="007A5B4C">
      <w:pPr>
        <w:jc w:val="both"/>
        <w:rPr>
          <w:sz w:val="24"/>
          <w:szCs w:val="24"/>
        </w:rPr>
      </w:pPr>
      <w:r w:rsidRPr="007A5B4C">
        <w:rPr>
          <w:sz w:val="24"/>
          <w:szCs w:val="24"/>
        </w:rPr>
        <w:lastRenderedPageBreak/>
        <w:t xml:space="preserve"> </w:t>
      </w:r>
    </w:p>
    <w:p w14:paraId="6EA04BEC" w14:textId="77777777" w:rsidR="007A5B4C" w:rsidRPr="00890934" w:rsidRDefault="007A5B4C" w:rsidP="007A5B4C">
      <w:pPr>
        <w:jc w:val="both"/>
        <w:rPr>
          <w:b/>
          <w:sz w:val="24"/>
          <w:szCs w:val="24"/>
        </w:rPr>
      </w:pPr>
      <w:r w:rsidRPr="00890934">
        <w:rPr>
          <w:b/>
          <w:sz w:val="24"/>
          <w:szCs w:val="24"/>
        </w:rPr>
        <w:t>Deliverables:</w:t>
      </w:r>
    </w:p>
    <w:p w14:paraId="168D9200" w14:textId="7A3209CA" w:rsidR="007A5B4C" w:rsidRPr="00312D7B" w:rsidRDefault="007A5B4C" w:rsidP="007A5B4C">
      <w:pPr>
        <w:pStyle w:val="ListParagraph"/>
        <w:numPr>
          <w:ilvl w:val="0"/>
          <w:numId w:val="14"/>
        </w:numPr>
        <w:spacing w:after="0" w:line="240" w:lineRule="auto"/>
        <w:jc w:val="both"/>
        <w:rPr>
          <w:sz w:val="24"/>
          <w:szCs w:val="24"/>
        </w:rPr>
      </w:pPr>
      <w:r w:rsidRPr="00312D7B">
        <w:rPr>
          <w:sz w:val="24"/>
          <w:szCs w:val="24"/>
        </w:rPr>
        <w:t xml:space="preserve">An analytical report </w:t>
      </w:r>
      <w:r w:rsidR="00890934" w:rsidRPr="00312D7B">
        <w:rPr>
          <w:sz w:val="24"/>
          <w:szCs w:val="24"/>
        </w:rPr>
        <w:t xml:space="preserve">(OSH along with Fire safety and Building Structure) </w:t>
      </w:r>
      <w:r w:rsidRPr="00312D7B">
        <w:rPr>
          <w:sz w:val="24"/>
          <w:szCs w:val="24"/>
        </w:rPr>
        <w:t xml:space="preserve">with visual presentation </w:t>
      </w:r>
    </w:p>
    <w:p w14:paraId="5026C7D1" w14:textId="77777777" w:rsidR="007A5B4C" w:rsidRPr="00312D7B" w:rsidRDefault="007A5B4C" w:rsidP="007A5B4C">
      <w:pPr>
        <w:pStyle w:val="ListParagraph"/>
        <w:numPr>
          <w:ilvl w:val="0"/>
          <w:numId w:val="14"/>
        </w:numPr>
        <w:spacing w:after="0" w:line="240" w:lineRule="auto"/>
        <w:jc w:val="both"/>
        <w:rPr>
          <w:sz w:val="24"/>
          <w:szCs w:val="24"/>
        </w:rPr>
      </w:pPr>
      <w:r w:rsidRPr="00312D7B">
        <w:rPr>
          <w:sz w:val="24"/>
          <w:szCs w:val="24"/>
        </w:rPr>
        <w:t xml:space="preserve">Relevant Annexes and tables </w:t>
      </w:r>
    </w:p>
    <w:p w14:paraId="7ACC7124" w14:textId="77777777" w:rsidR="007A5B4C" w:rsidRPr="00312D7B" w:rsidRDefault="007A5B4C" w:rsidP="007A5B4C">
      <w:pPr>
        <w:pStyle w:val="ListParagraph"/>
        <w:numPr>
          <w:ilvl w:val="0"/>
          <w:numId w:val="14"/>
        </w:numPr>
        <w:spacing w:after="0" w:line="240" w:lineRule="auto"/>
        <w:jc w:val="both"/>
        <w:rPr>
          <w:sz w:val="24"/>
          <w:szCs w:val="24"/>
        </w:rPr>
      </w:pPr>
      <w:r w:rsidRPr="00312D7B">
        <w:rPr>
          <w:sz w:val="24"/>
          <w:szCs w:val="24"/>
        </w:rPr>
        <w:t>Data presentation and validation workshop</w:t>
      </w:r>
    </w:p>
    <w:p w14:paraId="101D7894" w14:textId="77777777" w:rsidR="007A5B4C" w:rsidRPr="00312D7B" w:rsidRDefault="007A5B4C" w:rsidP="007A5B4C">
      <w:pPr>
        <w:pStyle w:val="ListParagraph"/>
        <w:numPr>
          <w:ilvl w:val="0"/>
          <w:numId w:val="14"/>
        </w:numPr>
        <w:spacing w:after="0" w:line="240" w:lineRule="auto"/>
        <w:jc w:val="both"/>
        <w:rPr>
          <w:sz w:val="24"/>
          <w:szCs w:val="24"/>
        </w:rPr>
      </w:pPr>
      <w:r w:rsidRPr="00312D7B">
        <w:rPr>
          <w:sz w:val="24"/>
          <w:szCs w:val="24"/>
        </w:rPr>
        <w:t>Hard copy and soft copies of data and reports</w:t>
      </w:r>
    </w:p>
    <w:p w14:paraId="55A77B0A" w14:textId="77777777" w:rsidR="007A5B4C" w:rsidRPr="00312D7B" w:rsidRDefault="007A5B4C" w:rsidP="007A5B4C">
      <w:pPr>
        <w:pStyle w:val="ListParagraph"/>
        <w:numPr>
          <w:ilvl w:val="0"/>
          <w:numId w:val="14"/>
        </w:numPr>
        <w:spacing w:after="0" w:line="240" w:lineRule="auto"/>
        <w:jc w:val="both"/>
        <w:rPr>
          <w:sz w:val="24"/>
          <w:szCs w:val="24"/>
        </w:rPr>
      </w:pPr>
      <w:r w:rsidRPr="00312D7B">
        <w:rPr>
          <w:sz w:val="24"/>
          <w:szCs w:val="24"/>
        </w:rPr>
        <w:t>Case studies with picture</w:t>
      </w:r>
    </w:p>
    <w:p w14:paraId="0D1AE931" w14:textId="77777777" w:rsidR="00BB177A" w:rsidRPr="00312D7B" w:rsidRDefault="00BB177A" w:rsidP="00BB177A">
      <w:pPr>
        <w:spacing w:after="0" w:line="240" w:lineRule="auto"/>
        <w:jc w:val="both"/>
        <w:rPr>
          <w:rFonts w:ascii="Palatino Linotype" w:eastAsia="Calibri" w:hAnsi="Palatino Linotype" w:cs="Calibri"/>
          <w:b/>
          <w:sz w:val="24"/>
          <w:lang w:val="en-GB"/>
        </w:rPr>
      </w:pPr>
    </w:p>
    <w:p w14:paraId="15CABD5F" w14:textId="5DF5AF5B" w:rsidR="00BB177A" w:rsidRPr="00890934" w:rsidRDefault="00BB177A" w:rsidP="00890934">
      <w:pPr>
        <w:spacing w:line="240" w:lineRule="auto"/>
        <w:jc w:val="both"/>
        <w:rPr>
          <w:rFonts w:eastAsia="Calibri" w:cstheme="minorHAnsi"/>
          <w:b/>
          <w:sz w:val="24"/>
          <w:szCs w:val="24"/>
          <w:lang w:val="en-GB"/>
        </w:rPr>
      </w:pPr>
      <w:bookmarkStart w:id="3" w:name="_Hlk73891528"/>
      <w:r w:rsidRPr="00890934">
        <w:rPr>
          <w:rFonts w:eastAsia="Calibri" w:cstheme="minorHAnsi"/>
          <w:b/>
          <w:sz w:val="24"/>
          <w:szCs w:val="24"/>
          <w:lang w:val="en-GB"/>
        </w:rPr>
        <w:t xml:space="preserve">Mode of payment: </w:t>
      </w:r>
    </w:p>
    <w:p w14:paraId="1DCFAA39" w14:textId="7FD16ECB" w:rsidR="00BB177A" w:rsidRPr="00312D7B" w:rsidRDefault="002460AE" w:rsidP="00BB177A">
      <w:pPr>
        <w:spacing w:after="0" w:line="240" w:lineRule="auto"/>
        <w:jc w:val="both"/>
        <w:rPr>
          <w:rFonts w:eastAsia="Calibri" w:cstheme="minorHAnsi"/>
          <w:sz w:val="24"/>
          <w:szCs w:val="24"/>
          <w:lang w:val="en-GB"/>
        </w:rPr>
      </w:pPr>
      <w:r w:rsidRPr="00312D7B">
        <w:rPr>
          <w:rFonts w:eastAsia="Calibri" w:cstheme="minorHAnsi"/>
          <w:sz w:val="24"/>
          <w:szCs w:val="24"/>
          <w:lang w:val="en-GB"/>
        </w:rPr>
        <w:t xml:space="preserve">The consultant will receive 40% of the total contracted amount (-----BDT) after submission of inception report. The rest of the amount will be provided after receiving the final report. </w:t>
      </w:r>
      <w:r w:rsidR="00BB177A" w:rsidRPr="00312D7B">
        <w:rPr>
          <w:rFonts w:eastAsia="Calibri" w:cstheme="minorHAnsi"/>
          <w:sz w:val="24"/>
          <w:szCs w:val="24"/>
          <w:lang w:val="en-GB"/>
        </w:rPr>
        <w:t xml:space="preserve">The payment will be made through account payee cheque upon successfully completion of the assignments. Tax will be deducted at source as per govt. rules and regulations. </w:t>
      </w:r>
    </w:p>
    <w:bookmarkEnd w:id="3"/>
    <w:p w14:paraId="63EFB66B" w14:textId="77777777" w:rsidR="00890934" w:rsidRPr="00312D7B" w:rsidRDefault="00890934" w:rsidP="00890934">
      <w:pPr>
        <w:jc w:val="both"/>
        <w:rPr>
          <w:b/>
          <w:sz w:val="24"/>
          <w:szCs w:val="24"/>
        </w:rPr>
      </w:pPr>
    </w:p>
    <w:p w14:paraId="1B27EA98" w14:textId="74B1CC18" w:rsidR="00890934" w:rsidRPr="00312D7B" w:rsidRDefault="00890934" w:rsidP="00890934">
      <w:pPr>
        <w:jc w:val="both"/>
        <w:rPr>
          <w:bCs/>
          <w:sz w:val="24"/>
          <w:szCs w:val="24"/>
        </w:rPr>
      </w:pPr>
      <w:r w:rsidRPr="00312D7B">
        <w:rPr>
          <w:b/>
          <w:sz w:val="24"/>
          <w:szCs w:val="24"/>
        </w:rPr>
        <w:t xml:space="preserve">Proposal submission deadline: </w:t>
      </w:r>
      <w:r w:rsidRPr="00312D7B">
        <w:rPr>
          <w:bCs/>
          <w:sz w:val="24"/>
          <w:szCs w:val="24"/>
        </w:rPr>
        <w:t>15</w:t>
      </w:r>
      <w:r w:rsidRPr="00312D7B">
        <w:rPr>
          <w:bCs/>
          <w:sz w:val="24"/>
          <w:szCs w:val="24"/>
          <w:vertAlign w:val="superscript"/>
        </w:rPr>
        <w:t>th</w:t>
      </w:r>
      <w:r w:rsidRPr="00312D7B">
        <w:rPr>
          <w:bCs/>
          <w:sz w:val="24"/>
          <w:szCs w:val="24"/>
        </w:rPr>
        <w:t xml:space="preserve"> June 2021</w:t>
      </w:r>
    </w:p>
    <w:p w14:paraId="1F615ABF" w14:textId="77777777" w:rsidR="00890934" w:rsidRPr="00312D7B" w:rsidRDefault="00890934" w:rsidP="00890934">
      <w:pPr>
        <w:jc w:val="both"/>
        <w:rPr>
          <w:b/>
          <w:sz w:val="24"/>
          <w:szCs w:val="24"/>
        </w:rPr>
      </w:pPr>
      <w:r w:rsidRPr="00312D7B">
        <w:rPr>
          <w:b/>
          <w:sz w:val="24"/>
          <w:szCs w:val="24"/>
        </w:rPr>
        <w:t xml:space="preserve">Study Timeline: </w:t>
      </w:r>
      <w:r w:rsidRPr="00312D7B">
        <w:rPr>
          <w:bCs/>
          <w:sz w:val="24"/>
          <w:szCs w:val="24"/>
        </w:rPr>
        <w:t>by September 2021</w:t>
      </w:r>
    </w:p>
    <w:p w14:paraId="42C215D6" w14:textId="77777777" w:rsidR="00BB177A" w:rsidRPr="00890934" w:rsidRDefault="00BB177A" w:rsidP="00BB177A">
      <w:pPr>
        <w:spacing w:after="0" w:line="240" w:lineRule="auto"/>
        <w:jc w:val="both"/>
        <w:rPr>
          <w:rFonts w:ascii="Palatino Linotype" w:eastAsia="Calibri" w:hAnsi="Palatino Linotype" w:cs="Calibri"/>
          <w:sz w:val="24"/>
          <w:szCs w:val="24"/>
          <w:lang w:val="en-GB"/>
        </w:rPr>
      </w:pPr>
    </w:p>
    <w:p w14:paraId="163A41B6" w14:textId="53F7AC06" w:rsidR="00616B59" w:rsidRPr="00334A8C" w:rsidRDefault="00616B59" w:rsidP="00E33878">
      <w:pPr>
        <w:spacing w:after="0" w:line="240" w:lineRule="auto"/>
        <w:rPr>
          <w:rFonts w:ascii="Palatino Linotype" w:eastAsia="Times New Roman" w:hAnsi="Palatino Linotype" w:cs="Times New Roman"/>
          <w:sz w:val="24"/>
          <w:szCs w:val="24"/>
          <w:lang w:val="en-US" w:bidi="bn-IN"/>
        </w:rPr>
      </w:pPr>
    </w:p>
    <w:p w14:paraId="639C8B55" w14:textId="5E346DBE" w:rsidR="00616B59" w:rsidRPr="00334A8C" w:rsidRDefault="00616B59" w:rsidP="00E33878">
      <w:pPr>
        <w:spacing w:after="0" w:line="240" w:lineRule="auto"/>
        <w:rPr>
          <w:rFonts w:ascii="Palatino Linotype" w:eastAsia="Times New Roman" w:hAnsi="Palatino Linotype" w:cs="Times New Roman"/>
          <w:sz w:val="24"/>
          <w:szCs w:val="24"/>
          <w:lang w:val="en-US" w:bidi="bn-IN"/>
        </w:rPr>
      </w:pPr>
    </w:p>
    <w:sectPr w:rsidR="00616B59" w:rsidRPr="00334A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2C9F5" w14:textId="77777777" w:rsidR="00B52C0D" w:rsidRDefault="00B52C0D" w:rsidP="00E33878">
      <w:pPr>
        <w:spacing w:after="0" w:line="240" w:lineRule="auto"/>
      </w:pPr>
      <w:r>
        <w:separator/>
      </w:r>
    </w:p>
  </w:endnote>
  <w:endnote w:type="continuationSeparator" w:id="0">
    <w:p w14:paraId="301148EC" w14:textId="77777777" w:rsidR="00B52C0D" w:rsidRDefault="00B52C0D" w:rsidP="00E3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A6E85" w14:textId="77777777" w:rsidR="00B52C0D" w:rsidRDefault="00B52C0D" w:rsidP="00E33878">
      <w:pPr>
        <w:spacing w:after="0" w:line="240" w:lineRule="auto"/>
      </w:pPr>
      <w:r>
        <w:separator/>
      </w:r>
    </w:p>
  </w:footnote>
  <w:footnote w:type="continuationSeparator" w:id="0">
    <w:p w14:paraId="789FDA48" w14:textId="77777777" w:rsidR="00B52C0D" w:rsidRDefault="00B52C0D" w:rsidP="00E33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6D0E"/>
    <w:multiLevelType w:val="hybridMultilevel"/>
    <w:tmpl w:val="16562C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EB4160C"/>
    <w:multiLevelType w:val="hybridMultilevel"/>
    <w:tmpl w:val="2218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363D2"/>
    <w:multiLevelType w:val="hybridMultilevel"/>
    <w:tmpl w:val="6D3E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215C9"/>
    <w:multiLevelType w:val="hybridMultilevel"/>
    <w:tmpl w:val="E6F2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164EC"/>
    <w:multiLevelType w:val="hybridMultilevel"/>
    <w:tmpl w:val="A9B2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2B53E8"/>
    <w:multiLevelType w:val="hybridMultilevel"/>
    <w:tmpl w:val="594A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D06E8"/>
    <w:multiLevelType w:val="hybridMultilevel"/>
    <w:tmpl w:val="40C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40169"/>
    <w:multiLevelType w:val="hybridMultilevel"/>
    <w:tmpl w:val="80FE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4347C"/>
    <w:multiLevelType w:val="hybridMultilevel"/>
    <w:tmpl w:val="5A6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458B9"/>
    <w:multiLevelType w:val="hybridMultilevel"/>
    <w:tmpl w:val="DC9E1552"/>
    <w:lvl w:ilvl="0" w:tplc="AC5831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0391B"/>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4444F2C"/>
    <w:multiLevelType w:val="hybridMultilevel"/>
    <w:tmpl w:val="38B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53BAB"/>
    <w:multiLevelType w:val="hybridMultilevel"/>
    <w:tmpl w:val="9A6A51C0"/>
    <w:lvl w:ilvl="0" w:tplc="0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C1E6C"/>
    <w:multiLevelType w:val="hybridMultilevel"/>
    <w:tmpl w:val="8BE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6"/>
  </w:num>
  <w:num w:numId="5">
    <w:abstractNumId w:val="7"/>
  </w:num>
  <w:num w:numId="6">
    <w:abstractNumId w:val="1"/>
  </w:num>
  <w:num w:numId="7">
    <w:abstractNumId w:val="5"/>
  </w:num>
  <w:num w:numId="8">
    <w:abstractNumId w:val="4"/>
  </w:num>
  <w:num w:numId="9">
    <w:abstractNumId w:val="3"/>
  </w:num>
  <w:num w:numId="10">
    <w:abstractNumId w:val="9"/>
  </w:num>
  <w:num w:numId="11">
    <w:abstractNumId w:val="10"/>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46"/>
    <w:rsid w:val="00015A88"/>
    <w:rsid w:val="0006244B"/>
    <w:rsid w:val="0007192A"/>
    <w:rsid w:val="00120DF0"/>
    <w:rsid w:val="00127B53"/>
    <w:rsid w:val="00180F57"/>
    <w:rsid w:val="00197989"/>
    <w:rsid w:val="001A5762"/>
    <w:rsid w:val="001B5D84"/>
    <w:rsid w:val="001E4844"/>
    <w:rsid w:val="00237F5F"/>
    <w:rsid w:val="002460AE"/>
    <w:rsid w:val="002567F4"/>
    <w:rsid w:val="00273093"/>
    <w:rsid w:val="002B6666"/>
    <w:rsid w:val="002E5F63"/>
    <w:rsid w:val="00312D7B"/>
    <w:rsid w:val="00334A8C"/>
    <w:rsid w:val="003479EE"/>
    <w:rsid w:val="003766E7"/>
    <w:rsid w:val="003A1C64"/>
    <w:rsid w:val="0044138C"/>
    <w:rsid w:val="004601C4"/>
    <w:rsid w:val="0046612F"/>
    <w:rsid w:val="004A410B"/>
    <w:rsid w:val="004E6C2B"/>
    <w:rsid w:val="005157DB"/>
    <w:rsid w:val="00561F06"/>
    <w:rsid w:val="0057652A"/>
    <w:rsid w:val="00583FE7"/>
    <w:rsid w:val="00590C1D"/>
    <w:rsid w:val="005977FA"/>
    <w:rsid w:val="005F006F"/>
    <w:rsid w:val="005F67B1"/>
    <w:rsid w:val="00616B59"/>
    <w:rsid w:val="006547D9"/>
    <w:rsid w:val="00675DFD"/>
    <w:rsid w:val="0069791C"/>
    <w:rsid w:val="00707714"/>
    <w:rsid w:val="007A5B4C"/>
    <w:rsid w:val="007B27B4"/>
    <w:rsid w:val="007D743E"/>
    <w:rsid w:val="00801DC4"/>
    <w:rsid w:val="00833DF2"/>
    <w:rsid w:val="008828C7"/>
    <w:rsid w:val="00890934"/>
    <w:rsid w:val="008A6A06"/>
    <w:rsid w:val="008B1851"/>
    <w:rsid w:val="008D7CF7"/>
    <w:rsid w:val="008E52EF"/>
    <w:rsid w:val="008F3ED0"/>
    <w:rsid w:val="008F6AB3"/>
    <w:rsid w:val="00945120"/>
    <w:rsid w:val="009813ED"/>
    <w:rsid w:val="00A11E2E"/>
    <w:rsid w:val="00A36EB7"/>
    <w:rsid w:val="00A3702C"/>
    <w:rsid w:val="00A4234B"/>
    <w:rsid w:val="00A46539"/>
    <w:rsid w:val="00A65A68"/>
    <w:rsid w:val="00AA05DE"/>
    <w:rsid w:val="00AF5E89"/>
    <w:rsid w:val="00B42E69"/>
    <w:rsid w:val="00B52C0D"/>
    <w:rsid w:val="00B5344A"/>
    <w:rsid w:val="00B632BB"/>
    <w:rsid w:val="00B7680B"/>
    <w:rsid w:val="00BA1671"/>
    <w:rsid w:val="00BB177A"/>
    <w:rsid w:val="00C165D1"/>
    <w:rsid w:val="00C562C3"/>
    <w:rsid w:val="00C73473"/>
    <w:rsid w:val="00C76589"/>
    <w:rsid w:val="00C80FFB"/>
    <w:rsid w:val="00C915DB"/>
    <w:rsid w:val="00CC5254"/>
    <w:rsid w:val="00CE51C8"/>
    <w:rsid w:val="00CE79B6"/>
    <w:rsid w:val="00D111AC"/>
    <w:rsid w:val="00D45DB1"/>
    <w:rsid w:val="00D555B9"/>
    <w:rsid w:val="00DD3E7F"/>
    <w:rsid w:val="00E15854"/>
    <w:rsid w:val="00E33878"/>
    <w:rsid w:val="00E65190"/>
    <w:rsid w:val="00E65446"/>
    <w:rsid w:val="00E953AC"/>
    <w:rsid w:val="00E96DC4"/>
    <w:rsid w:val="00EA3087"/>
    <w:rsid w:val="00EA4232"/>
    <w:rsid w:val="00EF370F"/>
    <w:rsid w:val="00F138E3"/>
    <w:rsid w:val="00F25C84"/>
    <w:rsid w:val="00F575B0"/>
    <w:rsid w:val="00F63567"/>
    <w:rsid w:val="00F74122"/>
    <w:rsid w:val="00F75AF0"/>
    <w:rsid w:val="00FA3D5E"/>
    <w:rsid w:val="00FC69B7"/>
    <w:rsid w:val="00FD6ED5"/>
    <w:rsid w:val="00FF7D36"/>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24A"/>
  <w15:chartTrackingRefBased/>
  <w15:docId w15:val="{6B08454E-7019-4EBD-A17F-377C8AEC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671"/>
    <w:pPr>
      <w:ind w:left="720"/>
      <w:contextualSpacing/>
    </w:pPr>
  </w:style>
  <w:style w:type="character" w:styleId="Hyperlink">
    <w:name w:val="Hyperlink"/>
    <w:basedOn w:val="DefaultParagraphFont"/>
    <w:uiPriority w:val="99"/>
    <w:semiHidden/>
    <w:unhideWhenUsed/>
    <w:rsid w:val="00B632BB"/>
    <w:rPr>
      <w:color w:val="0000FF"/>
      <w:u w:val="single"/>
    </w:rPr>
  </w:style>
  <w:style w:type="table" w:styleId="TableGrid">
    <w:name w:val="Table Grid"/>
    <w:basedOn w:val="TableNormal"/>
    <w:uiPriority w:val="39"/>
    <w:rsid w:val="00E33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33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878"/>
    <w:rPr>
      <w:sz w:val="20"/>
      <w:szCs w:val="20"/>
    </w:rPr>
  </w:style>
  <w:style w:type="character" w:styleId="FootnoteReference">
    <w:name w:val="footnote reference"/>
    <w:basedOn w:val="DefaultParagraphFont"/>
    <w:uiPriority w:val="99"/>
    <w:semiHidden/>
    <w:unhideWhenUsed/>
    <w:rsid w:val="00E33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10406">
      <w:bodyDiv w:val="1"/>
      <w:marLeft w:val="0"/>
      <w:marRight w:val="0"/>
      <w:marTop w:val="0"/>
      <w:marBottom w:val="0"/>
      <w:divBdr>
        <w:top w:val="none" w:sz="0" w:space="0" w:color="auto"/>
        <w:left w:val="none" w:sz="0" w:space="0" w:color="auto"/>
        <w:bottom w:val="none" w:sz="0" w:space="0" w:color="auto"/>
        <w:right w:val="none" w:sz="0" w:space="0" w:color="auto"/>
      </w:divBdr>
      <w:divsChild>
        <w:div w:id="1326782979">
          <w:marLeft w:val="0"/>
          <w:marRight w:val="0"/>
          <w:marTop w:val="0"/>
          <w:marBottom w:val="0"/>
          <w:divBdr>
            <w:top w:val="none" w:sz="0" w:space="0" w:color="auto"/>
            <w:left w:val="none" w:sz="0" w:space="0" w:color="auto"/>
            <w:bottom w:val="none" w:sz="0" w:space="0" w:color="auto"/>
            <w:right w:val="none" w:sz="0" w:space="0" w:color="auto"/>
          </w:divBdr>
        </w:div>
        <w:div w:id="1758401094">
          <w:marLeft w:val="0"/>
          <w:marRight w:val="0"/>
          <w:marTop w:val="0"/>
          <w:marBottom w:val="0"/>
          <w:divBdr>
            <w:top w:val="none" w:sz="0" w:space="0" w:color="auto"/>
            <w:left w:val="none" w:sz="0" w:space="0" w:color="auto"/>
            <w:bottom w:val="none" w:sz="0" w:space="0" w:color="auto"/>
            <w:right w:val="none" w:sz="0" w:space="0" w:color="auto"/>
          </w:divBdr>
        </w:div>
        <w:div w:id="476922652">
          <w:marLeft w:val="0"/>
          <w:marRight w:val="0"/>
          <w:marTop w:val="0"/>
          <w:marBottom w:val="0"/>
          <w:divBdr>
            <w:top w:val="none" w:sz="0" w:space="0" w:color="auto"/>
            <w:left w:val="none" w:sz="0" w:space="0" w:color="auto"/>
            <w:bottom w:val="none" w:sz="0" w:space="0" w:color="auto"/>
            <w:right w:val="none" w:sz="0" w:space="0" w:color="auto"/>
          </w:divBdr>
        </w:div>
        <w:div w:id="398678771">
          <w:marLeft w:val="0"/>
          <w:marRight w:val="0"/>
          <w:marTop w:val="0"/>
          <w:marBottom w:val="0"/>
          <w:divBdr>
            <w:top w:val="none" w:sz="0" w:space="0" w:color="auto"/>
            <w:left w:val="none" w:sz="0" w:space="0" w:color="auto"/>
            <w:bottom w:val="none" w:sz="0" w:space="0" w:color="auto"/>
            <w:right w:val="none" w:sz="0" w:space="0" w:color="auto"/>
          </w:divBdr>
        </w:div>
      </w:divsChild>
    </w:div>
    <w:div w:id="995307872">
      <w:bodyDiv w:val="1"/>
      <w:marLeft w:val="0"/>
      <w:marRight w:val="0"/>
      <w:marTop w:val="0"/>
      <w:marBottom w:val="0"/>
      <w:divBdr>
        <w:top w:val="none" w:sz="0" w:space="0" w:color="auto"/>
        <w:left w:val="none" w:sz="0" w:space="0" w:color="auto"/>
        <w:bottom w:val="none" w:sz="0" w:space="0" w:color="auto"/>
        <w:right w:val="none" w:sz="0" w:space="0" w:color="auto"/>
      </w:divBdr>
      <w:divsChild>
        <w:div w:id="756639269">
          <w:marLeft w:val="0"/>
          <w:marRight w:val="0"/>
          <w:marTop w:val="0"/>
          <w:marBottom w:val="0"/>
          <w:divBdr>
            <w:top w:val="none" w:sz="0" w:space="0" w:color="auto"/>
            <w:left w:val="none" w:sz="0" w:space="0" w:color="auto"/>
            <w:bottom w:val="none" w:sz="0" w:space="0" w:color="auto"/>
            <w:right w:val="none" w:sz="0" w:space="0" w:color="auto"/>
          </w:divBdr>
        </w:div>
      </w:divsChild>
    </w:div>
    <w:div w:id="1331712002">
      <w:bodyDiv w:val="1"/>
      <w:marLeft w:val="0"/>
      <w:marRight w:val="0"/>
      <w:marTop w:val="0"/>
      <w:marBottom w:val="0"/>
      <w:divBdr>
        <w:top w:val="none" w:sz="0" w:space="0" w:color="auto"/>
        <w:left w:val="none" w:sz="0" w:space="0" w:color="auto"/>
        <w:bottom w:val="none" w:sz="0" w:space="0" w:color="auto"/>
        <w:right w:val="none" w:sz="0" w:space="0" w:color="auto"/>
      </w:divBdr>
    </w:div>
    <w:div w:id="1361737338">
      <w:bodyDiv w:val="1"/>
      <w:marLeft w:val="0"/>
      <w:marRight w:val="0"/>
      <w:marTop w:val="0"/>
      <w:marBottom w:val="0"/>
      <w:divBdr>
        <w:top w:val="none" w:sz="0" w:space="0" w:color="auto"/>
        <w:left w:val="none" w:sz="0" w:space="0" w:color="auto"/>
        <w:bottom w:val="none" w:sz="0" w:space="0" w:color="auto"/>
        <w:right w:val="none" w:sz="0" w:space="0" w:color="auto"/>
      </w:divBdr>
      <w:divsChild>
        <w:div w:id="85380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F8C5-7978-4C32-9E36-6F10D168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Borhan</dc:creator>
  <cp:keywords/>
  <dc:description/>
  <cp:lastModifiedBy>USER</cp:lastModifiedBy>
  <cp:revision>2</cp:revision>
  <dcterms:created xsi:type="dcterms:W3CDTF">2021-06-12T05:51:00Z</dcterms:created>
  <dcterms:modified xsi:type="dcterms:W3CDTF">2021-06-12T05:51:00Z</dcterms:modified>
</cp:coreProperties>
</file>